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DCD" w:rsidRDefault="00E74E82">
      <w:pPr>
        <w:keepNext/>
        <w:pBdr>
          <w:top w:val="nil"/>
          <w:left w:val="nil"/>
          <w:bottom w:val="nil"/>
          <w:right w:val="nil"/>
          <w:between w:val="nil"/>
        </w:pBdr>
        <w:jc w:val="center"/>
        <w:rPr>
          <w:rFonts w:ascii="Verdana" w:eastAsia="Verdana" w:hAnsi="Verdana" w:cs="Verdana"/>
          <w:b/>
          <w:color w:val="000000"/>
          <w:sz w:val="24"/>
          <w:szCs w:val="24"/>
        </w:rPr>
      </w:pPr>
      <w:r>
        <w:rPr>
          <w:rFonts w:ascii="Verdana" w:eastAsia="Verdana" w:hAnsi="Verdana" w:cs="Verdana"/>
          <w:b/>
          <w:color w:val="000000"/>
          <w:sz w:val="24"/>
          <w:szCs w:val="24"/>
        </w:rPr>
        <w:t>ETABLISSEMENT</w:t>
      </w:r>
    </w:p>
    <w:p w:rsidR="005F7DCD" w:rsidRDefault="00E74E82">
      <w:pPr>
        <w:keepNext/>
        <w:pBdr>
          <w:top w:val="nil"/>
          <w:left w:val="nil"/>
          <w:bottom w:val="nil"/>
          <w:right w:val="nil"/>
          <w:between w:val="nil"/>
        </w:pBdr>
        <w:ind w:hanging="1416"/>
        <w:jc w:val="center"/>
        <w:rPr>
          <w:rFonts w:ascii="Verdana" w:eastAsia="Verdana" w:hAnsi="Verdana" w:cs="Verdana"/>
          <w:b/>
          <w:color w:val="000000"/>
          <w:sz w:val="22"/>
          <w:szCs w:val="22"/>
        </w:rPr>
      </w:pPr>
      <w:r>
        <w:rPr>
          <w:rFonts w:ascii="Verdana" w:eastAsia="Verdana" w:hAnsi="Verdana" w:cs="Verdana"/>
          <w:b/>
          <w:color w:val="000000"/>
          <w:sz w:val="22"/>
          <w:szCs w:val="22"/>
        </w:rPr>
        <w:t>Adresse</w:t>
      </w:r>
    </w:p>
    <w:p w:rsidR="005F7DCD" w:rsidRDefault="005F7DCD">
      <w:pPr>
        <w:jc w:val="center"/>
        <w:rPr>
          <w:rFonts w:ascii="Verdana" w:eastAsia="Verdana" w:hAnsi="Verdana" w:cs="Verdana"/>
          <w:sz w:val="18"/>
          <w:szCs w:val="18"/>
        </w:rPr>
      </w:pPr>
    </w:p>
    <w:p w:rsidR="005F7DCD" w:rsidRDefault="00E74E82">
      <w:pPr>
        <w:jc w:val="center"/>
        <w:rPr>
          <w:rFonts w:ascii="Verdana" w:eastAsia="Verdana" w:hAnsi="Verdana" w:cs="Verdana"/>
          <w:sz w:val="18"/>
          <w:szCs w:val="18"/>
        </w:rPr>
      </w:pPr>
      <w:r>
        <w:rPr>
          <w:rFonts w:ascii="Verdana" w:eastAsia="Verdana" w:hAnsi="Verdana" w:cs="Verdana"/>
          <w:sz w:val="18"/>
          <w:szCs w:val="18"/>
        </w:rPr>
        <w:t>Contact :</w:t>
      </w:r>
    </w:p>
    <w:p w:rsidR="005F7DCD" w:rsidRDefault="00E74E82">
      <w:pPr>
        <w:jc w:val="center"/>
        <w:rPr>
          <w:rFonts w:ascii="Verdana" w:eastAsia="Verdana" w:hAnsi="Verdana" w:cs="Verdana"/>
          <w:sz w:val="18"/>
          <w:szCs w:val="18"/>
        </w:rPr>
      </w:pPr>
      <w:r>
        <w:rPr>
          <w:rFonts w:ascii="Verdana" w:eastAsia="Verdana" w:hAnsi="Verdana" w:cs="Verdana"/>
          <w:sz w:val="18"/>
          <w:szCs w:val="18"/>
        </w:rPr>
        <w:t>Tél : 02 3</w:t>
      </w:r>
    </w:p>
    <w:p w:rsidR="005F7DCD" w:rsidRDefault="00E74E82">
      <w:pPr>
        <w:jc w:val="center"/>
        <w:rPr>
          <w:rFonts w:ascii="Verdana" w:eastAsia="Verdana" w:hAnsi="Verdana" w:cs="Verdana"/>
          <w:sz w:val="18"/>
          <w:szCs w:val="18"/>
        </w:rPr>
      </w:pPr>
      <w:r>
        <w:rPr>
          <w:rFonts w:ascii="Verdana" w:eastAsia="Verdana" w:hAnsi="Verdana" w:cs="Verdana"/>
          <w:sz w:val="18"/>
          <w:szCs w:val="18"/>
        </w:rPr>
        <w:t xml:space="preserve">Fax : 02 3 </w:t>
      </w:r>
    </w:p>
    <w:p w:rsidR="005F7DCD" w:rsidRDefault="00E74E82">
      <w:pPr>
        <w:jc w:val="center"/>
        <w:rPr>
          <w:rFonts w:ascii="Verdana" w:eastAsia="Verdana" w:hAnsi="Verdana" w:cs="Verdana"/>
          <w:sz w:val="18"/>
          <w:szCs w:val="18"/>
        </w:rPr>
      </w:pPr>
      <w:r>
        <w:rPr>
          <w:rFonts w:ascii="Verdana" w:eastAsia="Verdana" w:hAnsi="Verdana" w:cs="Verdana"/>
          <w:sz w:val="18"/>
          <w:szCs w:val="18"/>
        </w:rPr>
        <w:t>Mail : …@...</w:t>
      </w:r>
    </w:p>
    <w:p w:rsidR="005F7DCD" w:rsidRDefault="005F7DCD">
      <w:pPr>
        <w:jc w:val="center"/>
        <w:rPr>
          <w:rFonts w:ascii="Verdana" w:eastAsia="Verdana" w:hAnsi="Verdana" w:cs="Verdana"/>
          <w:sz w:val="18"/>
          <w:szCs w:val="18"/>
        </w:rPr>
      </w:pPr>
    </w:p>
    <w:p w:rsidR="005F7DCD" w:rsidRDefault="005F7DCD">
      <w:pPr>
        <w:rPr>
          <w:rFonts w:ascii="Verdana" w:eastAsia="Verdana" w:hAnsi="Verdana" w:cs="Verdana"/>
          <w:sz w:val="18"/>
          <w:szCs w:val="18"/>
        </w:rPr>
      </w:pPr>
    </w:p>
    <w:p w:rsidR="005F7DCD" w:rsidRDefault="005F7DCD">
      <w:pPr>
        <w:rPr>
          <w:rFonts w:ascii="Verdana" w:eastAsia="Verdana" w:hAnsi="Verdana" w:cs="Verdana"/>
          <w:sz w:val="18"/>
          <w:szCs w:val="18"/>
        </w:rPr>
      </w:pPr>
    </w:p>
    <w:p w:rsidR="005F7DCD" w:rsidRDefault="00E74E82">
      <w:pPr>
        <w:jc w:val="center"/>
        <w:rPr>
          <w:rFonts w:ascii="Verdana" w:eastAsia="Verdana" w:hAnsi="Verdana" w:cs="Verdana"/>
          <w:sz w:val="28"/>
          <w:szCs w:val="28"/>
        </w:rPr>
      </w:pPr>
      <w:r>
        <w:rPr>
          <w:rFonts w:ascii="Verdana" w:eastAsia="Verdana" w:hAnsi="Verdana" w:cs="Verdana"/>
          <w:b/>
          <w:sz w:val="28"/>
          <w:szCs w:val="28"/>
        </w:rPr>
        <w:t>CAHIER DES CLAUSES TECHNIQUES PARTICULIERES</w:t>
      </w:r>
    </w:p>
    <w:p w:rsidR="005F7DCD" w:rsidRDefault="00E74E82">
      <w:pPr>
        <w:keepNext/>
        <w:pBdr>
          <w:top w:val="nil"/>
          <w:left w:val="nil"/>
          <w:bottom w:val="nil"/>
          <w:right w:val="nil"/>
          <w:between w:val="nil"/>
        </w:pBdr>
        <w:jc w:val="center"/>
        <w:rPr>
          <w:rFonts w:ascii="Verdana" w:eastAsia="Verdana" w:hAnsi="Verdana" w:cs="Verdana"/>
          <w:b/>
          <w:color w:val="000000"/>
          <w:sz w:val="24"/>
          <w:szCs w:val="24"/>
        </w:rPr>
      </w:pPr>
      <w:r>
        <w:rPr>
          <w:rFonts w:ascii="Verdana" w:eastAsia="Verdana" w:hAnsi="Verdana" w:cs="Verdana"/>
          <w:b/>
          <w:color w:val="000000"/>
          <w:sz w:val="24"/>
          <w:szCs w:val="24"/>
        </w:rPr>
        <w:t>Marché de fournitures</w:t>
      </w:r>
    </w:p>
    <w:p w:rsidR="005F7DCD" w:rsidRDefault="00E74E82">
      <w:pPr>
        <w:keepNext/>
        <w:pBdr>
          <w:top w:val="nil"/>
          <w:left w:val="nil"/>
          <w:bottom w:val="nil"/>
          <w:right w:val="nil"/>
          <w:between w:val="nil"/>
        </w:pBdr>
        <w:jc w:val="center"/>
        <w:rPr>
          <w:rFonts w:ascii="Verdana" w:eastAsia="Verdana" w:hAnsi="Verdana" w:cs="Verdana"/>
          <w:color w:val="000000"/>
          <w:sz w:val="28"/>
          <w:szCs w:val="28"/>
        </w:rPr>
      </w:pPr>
      <w:r>
        <w:rPr>
          <w:rFonts w:ascii="Verdana" w:eastAsia="Verdana" w:hAnsi="Verdana" w:cs="Verdana"/>
          <w:b/>
          <w:color w:val="000000"/>
          <w:sz w:val="24"/>
          <w:szCs w:val="24"/>
        </w:rPr>
        <w:t>P</w:t>
      </w:r>
      <w:r w:rsidR="004E4055">
        <w:rPr>
          <w:rFonts w:ascii="Verdana" w:eastAsia="Verdana" w:hAnsi="Verdana" w:cs="Verdana"/>
          <w:b/>
          <w:color w:val="000000"/>
          <w:sz w:val="24"/>
          <w:szCs w:val="24"/>
        </w:rPr>
        <w:t xml:space="preserve">oissons </w:t>
      </w:r>
      <w:r>
        <w:rPr>
          <w:rFonts w:ascii="Verdana" w:eastAsia="Verdana" w:hAnsi="Verdana" w:cs="Verdana"/>
          <w:b/>
          <w:color w:val="000000"/>
          <w:sz w:val="24"/>
          <w:szCs w:val="24"/>
        </w:rPr>
        <w:t xml:space="preserve">et </w:t>
      </w:r>
      <w:r w:rsidR="004E4055">
        <w:rPr>
          <w:rFonts w:ascii="Verdana" w:eastAsia="Verdana" w:hAnsi="Verdana" w:cs="Verdana"/>
          <w:b/>
          <w:color w:val="000000"/>
          <w:sz w:val="24"/>
          <w:szCs w:val="24"/>
        </w:rPr>
        <w:t>coquillages</w:t>
      </w:r>
      <w:r w:rsidR="003F2330">
        <w:rPr>
          <w:rFonts w:ascii="Verdana" w:eastAsia="Verdana" w:hAnsi="Verdana" w:cs="Verdana"/>
          <w:b/>
          <w:color w:val="000000"/>
          <w:sz w:val="24"/>
          <w:szCs w:val="24"/>
        </w:rPr>
        <w:t xml:space="preserve"> frais et surgelés</w:t>
      </w:r>
    </w:p>
    <w:p w:rsidR="005F7DCD" w:rsidRDefault="005F7DCD">
      <w:pPr>
        <w:rPr>
          <w:rFonts w:ascii="Verdana" w:eastAsia="Verdana" w:hAnsi="Verdana" w:cs="Verdana"/>
          <w:sz w:val="18"/>
          <w:szCs w:val="18"/>
        </w:rPr>
      </w:pPr>
    </w:p>
    <w:p w:rsidR="005F7DCD" w:rsidRDefault="005F7DCD">
      <w:pPr>
        <w:rPr>
          <w:rFonts w:ascii="Verdana" w:eastAsia="Verdana" w:hAnsi="Verdana" w:cs="Verdana"/>
          <w:sz w:val="18"/>
          <w:szCs w:val="18"/>
        </w:rPr>
      </w:pPr>
    </w:p>
    <w:p w:rsidR="005F7DCD" w:rsidRDefault="00E74E82">
      <w:pPr>
        <w:keepNext/>
        <w:pBdr>
          <w:top w:val="nil"/>
          <w:left w:val="nil"/>
          <w:bottom w:val="nil"/>
          <w:right w:val="nil"/>
          <w:between w:val="nil"/>
        </w:pBdr>
        <w:jc w:val="center"/>
        <w:rPr>
          <w:rFonts w:ascii="Verdana" w:eastAsia="Verdana" w:hAnsi="Verdana" w:cs="Verdana"/>
          <w:color w:val="000000"/>
          <w:sz w:val="22"/>
          <w:szCs w:val="22"/>
          <w:u w:val="single"/>
        </w:rPr>
      </w:pPr>
      <w:r>
        <w:rPr>
          <w:rFonts w:ascii="Verdana" w:eastAsia="Verdana" w:hAnsi="Verdana" w:cs="Verdana"/>
          <w:b/>
          <w:color w:val="000000"/>
          <w:sz w:val="22"/>
          <w:szCs w:val="22"/>
        </w:rPr>
        <w:t>ANNEE  20xx – 20xx</w:t>
      </w:r>
    </w:p>
    <w:p w:rsidR="005F7DCD" w:rsidRDefault="005F7DCD">
      <w:pPr>
        <w:rPr>
          <w:rFonts w:ascii="Verdana" w:eastAsia="Verdana" w:hAnsi="Verdana" w:cs="Verdana"/>
          <w:sz w:val="18"/>
          <w:szCs w:val="18"/>
        </w:rPr>
      </w:pPr>
    </w:p>
    <w:p w:rsidR="005F7DCD" w:rsidRDefault="005F7DCD">
      <w:pPr>
        <w:rPr>
          <w:rFonts w:ascii="Verdana" w:eastAsia="Verdana" w:hAnsi="Verdana" w:cs="Verdana"/>
          <w:sz w:val="18"/>
          <w:szCs w:val="18"/>
        </w:rPr>
      </w:pPr>
    </w:p>
    <w:p w:rsidR="005F7DCD" w:rsidRDefault="00E74E82">
      <w:pPr>
        <w:pBdr>
          <w:top w:val="single" w:sz="4" w:space="1" w:color="000000"/>
          <w:left w:val="single" w:sz="4" w:space="4" w:color="000000"/>
          <w:bottom w:val="single" w:sz="4" w:space="1" w:color="000000"/>
          <w:right w:val="single" w:sz="4" w:space="4" w:color="000000"/>
        </w:pBdr>
        <w:jc w:val="both"/>
        <w:rPr>
          <w:rFonts w:ascii="Verdana" w:eastAsia="Verdana" w:hAnsi="Verdana" w:cs="Verdana"/>
          <w:sz w:val="22"/>
          <w:szCs w:val="22"/>
        </w:rPr>
      </w:pPr>
      <w:r>
        <w:rPr>
          <w:rFonts w:ascii="Verdana" w:eastAsia="Verdana" w:hAnsi="Verdana" w:cs="Verdana"/>
          <w:b/>
          <w:sz w:val="22"/>
          <w:szCs w:val="22"/>
        </w:rPr>
        <w:t>1 – OBJET DU MARCHE</w:t>
      </w:r>
    </w:p>
    <w:p w:rsidR="005F7DCD" w:rsidRDefault="005F7DCD">
      <w:pPr>
        <w:ind w:firstLine="708"/>
        <w:jc w:val="both"/>
        <w:rPr>
          <w:rFonts w:ascii="Verdana" w:eastAsia="Verdana" w:hAnsi="Verdana" w:cs="Verdana"/>
        </w:rPr>
      </w:pPr>
    </w:p>
    <w:p w:rsidR="006E16E8" w:rsidRPr="006E16E8" w:rsidRDefault="006E16E8" w:rsidP="006E16E8">
      <w:pPr>
        <w:ind w:firstLine="708"/>
        <w:jc w:val="both"/>
        <w:rPr>
          <w:rFonts w:ascii="Verdana" w:eastAsia="Verdana" w:hAnsi="Verdana" w:cs="Verdana"/>
          <w:color w:val="FF0000"/>
        </w:rPr>
      </w:pPr>
      <w:r w:rsidRPr="006E16E8">
        <w:rPr>
          <w:rFonts w:ascii="Verdana" w:eastAsia="Verdana" w:hAnsi="Verdana" w:cs="Verdana"/>
        </w:rPr>
        <w:t xml:space="preserve">Fourniture et la livraison de denrées alimentaires (famille homogène « Poissons et coquillages frais et surgelés») issues d’un mode de production respectueux de l’environnement pour le service de restauration collective du </w:t>
      </w:r>
      <w:r w:rsidRPr="006E16E8">
        <w:rPr>
          <w:rFonts w:ascii="Verdana" w:eastAsia="Verdana" w:hAnsi="Verdana" w:cs="Verdana"/>
          <w:color w:val="FF0000"/>
        </w:rPr>
        <w:t>XXXX.</w:t>
      </w:r>
    </w:p>
    <w:p w:rsidR="006E16E8" w:rsidRPr="006E16E8" w:rsidRDefault="006E16E8" w:rsidP="006E16E8">
      <w:pPr>
        <w:ind w:firstLine="708"/>
        <w:jc w:val="both"/>
        <w:rPr>
          <w:rFonts w:ascii="Verdana" w:eastAsia="Verdana" w:hAnsi="Verdana" w:cs="Verdana"/>
        </w:rPr>
      </w:pPr>
    </w:p>
    <w:tbl>
      <w:tblPr>
        <w:tblW w:w="4972" w:type="pct"/>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83"/>
      </w:tblGrid>
      <w:tr w:rsidR="006E16E8" w:rsidRPr="00B048E5" w:rsidTr="006E16E8">
        <w:tc>
          <w:tcPr>
            <w:tcW w:w="5000" w:type="pct"/>
            <w:shd w:val="clear" w:color="auto" w:fill="F9CB9C"/>
            <w:tcMar>
              <w:top w:w="100" w:type="dxa"/>
              <w:left w:w="100" w:type="dxa"/>
              <w:bottom w:w="100" w:type="dxa"/>
              <w:right w:w="100" w:type="dxa"/>
            </w:tcMar>
          </w:tcPr>
          <w:p w:rsidR="006E16E8" w:rsidRPr="006E16E8" w:rsidRDefault="006E16E8" w:rsidP="003F2330">
            <w:pPr>
              <w:spacing w:before="100"/>
              <w:ind w:right="631" w:firstLine="15"/>
              <w:rPr>
                <w:rFonts w:ascii="Verdana" w:eastAsia="Verdana" w:hAnsi="Verdana" w:cs="Verdana"/>
                <w:i/>
                <w:sz w:val="18"/>
                <w:szCs w:val="18"/>
                <w:u w:val="single"/>
              </w:rPr>
            </w:pPr>
            <w:r w:rsidRPr="006E16E8">
              <w:rPr>
                <w:rFonts w:ascii="Verdana" w:eastAsia="Verdana" w:hAnsi="Verdana" w:cs="Verdana"/>
                <w:i/>
                <w:sz w:val="18"/>
                <w:szCs w:val="18"/>
                <w:u w:val="single"/>
              </w:rPr>
              <w:t>Commentaires :</w:t>
            </w:r>
            <w:r w:rsidRPr="006E16E8">
              <w:rPr>
                <w:rFonts w:ascii="Verdana" w:eastAsia="Verdana" w:hAnsi="Verdana" w:cs="Verdana"/>
                <w:i/>
                <w:sz w:val="18"/>
                <w:szCs w:val="18"/>
              </w:rPr>
              <w:t xml:space="preserve"> </w:t>
            </w:r>
            <w:r w:rsidR="003F2330">
              <w:rPr>
                <w:rFonts w:ascii="Verdana" w:eastAsia="Verdana" w:hAnsi="Verdana" w:cs="Verdana"/>
                <w:i/>
                <w:sz w:val="18"/>
                <w:szCs w:val="18"/>
              </w:rPr>
              <w:t>l</w:t>
            </w:r>
            <w:r w:rsidRPr="006E16E8">
              <w:rPr>
                <w:rFonts w:ascii="Verdana" w:eastAsia="Verdana" w:hAnsi="Verdana" w:cs="Verdana"/>
                <w:i/>
                <w:sz w:val="18"/>
                <w:szCs w:val="18"/>
              </w:rPr>
              <w:t>a famille homogène est à modifier en fonction de votre nomenclature ainsi que l’objet du marché</w:t>
            </w:r>
            <w:r w:rsidR="003F2330">
              <w:rPr>
                <w:rFonts w:ascii="Verdana" w:eastAsia="Verdana" w:hAnsi="Verdana" w:cs="Verdana"/>
                <w:i/>
                <w:sz w:val="18"/>
                <w:szCs w:val="18"/>
              </w:rPr>
              <w:t>.</w:t>
            </w:r>
          </w:p>
        </w:tc>
      </w:tr>
    </w:tbl>
    <w:p w:rsidR="006E16E8" w:rsidRPr="006E16E8" w:rsidRDefault="006E16E8" w:rsidP="006E16E8">
      <w:pPr>
        <w:ind w:firstLine="708"/>
        <w:jc w:val="both"/>
        <w:rPr>
          <w:rFonts w:ascii="Verdana" w:eastAsia="Verdana" w:hAnsi="Verdana" w:cs="Verdana"/>
        </w:rPr>
      </w:pPr>
    </w:p>
    <w:p w:rsidR="005F7DCD" w:rsidRDefault="006E16E8" w:rsidP="006E16E8">
      <w:pPr>
        <w:ind w:firstLine="708"/>
        <w:jc w:val="both"/>
        <w:rPr>
          <w:rFonts w:ascii="Verdana" w:eastAsia="Verdana" w:hAnsi="Verdana" w:cs="Verdana"/>
        </w:rPr>
      </w:pPr>
      <w:r w:rsidRPr="006E16E8">
        <w:rPr>
          <w:rFonts w:ascii="Verdana" w:eastAsia="Verdana" w:hAnsi="Verdana" w:cs="Verdana"/>
        </w:rPr>
        <w:t>Il s’agit d’un accord cadre à bons de commande (art. R 2162-13 à R 2162-14 du Code de la Commande Publique) dans le cadre d’un marché à procédure adaptée (art. R 2111-4 à R 2111-17 du Code de la Commande Publique) OU d’un marché à procédure formalisée/appel d’offres ouvert (art. R 2124-1 à R2124-2 &amp; art. L 2124-1 à art. L 2124-4 du Code de la Commande Publique).</w:t>
      </w:r>
    </w:p>
    <w:p w:rsidR="005F7DCD" w:rsidRDefault="00E74E82">
      <w:pPr>
        <w:spacing w:before="100"/>
        <w:ind w:left="1134" w:right="632" w:firstLine="15"/>
        <w:jc w:val="both"/>
        <w:rPr>
          <w:color w:val="FF0000"/>
          <w:sz w:val="24"/>
          <w:szCs w:val="24"/>
        </w:rPr>
      </w:pPr>
      <w:r>
        <w:rPr>
          <w:rFonts w:ascii="Verdana" w:eastAsia="Verdana" w:hAnsi="Verdana" w:cs="Verdana"/>
          <w:color w:val="000000"/>
        </w:rPr>
        <w:t xml:space="preserve">Les prestations sont réparties en </w:t>
      </w:r>
      <w:r>
        <w:rPr>
          <w:rFonts w:ascii="Verdana" w:eastAsia="Verdana" w:hAnsi="Verdana" w:cs="Verdana"/>
          <w:color w:val="FF0000"/>
        </w:rPr>
        <w:t>XXX</w:t>
      </w:r>
      <w:r>
        <w:rPr>
          <w:rFonts w:ascii="Verdana" w:eastAsia="Verdana" w:hAnsi="Verdana" w:cs="Verdana"/>
          <w:color w:val="000000"/>
        </w:rPr>
        <w:t xml:space="preserve"> lots : </w:t>
      </w:r>
      <w:r>
        <w:rPr>
          <w:rFonts w:ascii="Verdana" w:eastAsia="Verdana" w:hAnsi="Verdana" w:cs="Verdana"/>
          <w:color w:val="FF0000"/>
        </w:rPr>
        <w:t>(Liste non exhaustive)</w:t>
      </w:r>
    </w:p>
    <w:p w:rsidR="005F7DCD" w:rsidRDefault="005F7DCD">
      <w:pPr>
        <w:rPr>
          <w:sz w:val="24"/>
          <w:szCs w:val="24"/>
        </w:rPr>
      </w:pPr>
    </w:p>
    <w:tbl>
      <w:tblPr>
        <w:tblW w:w="4971" w:type="pct"/>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536"/>
        <w:gridCol w:w="2694"/>
        <w:gridCol w:w="2551"/>
      </w:tblGrid>
      <w:tr w:rsidR="006E16E8" w:rsidRPr="00B048E5" w:rsidTr="006E16E8">
        <w:tc>
          <w:tcPr>
            <w:tcW w:w="2319" w:type="pct"/>
            <w:tcBorders>
              <w:bottom w:val="single" w:sz="4" w:space="0" w:color="auto"/>
            </w:tcBorders>
            <w:shd w:val="clear" w:color="auto" w:fill="auto"/>
            <w:tcMar>
              <w:top w:w="100" w:type="dxa"/>
              <w:left w:w="100" w:type="dxa"/>
              <w:bottom w:w="100" w:type="dxa"/>
              <w:right w:w="100" w:type="dxa"/>
            </w:tcMar>
          </w:tcPr>
          <w:p w:rsidR="006E16E8" w:rsidRPr="006E16E8" w:rsidRDefault="006E16E8" w:rsidP="002326D5">
            <w:pPr>
              <w:pBdr>
                <w:top w:val="nil"/>
                <w:left w:val="nil"/>
                <w:bottom w:val="nil"/>
                <w:right w:val="nil"/>
                <w:between w:val="nil"/>
              </w:pBdr>
              <w:spacing w:before="100"/>
              <w:ind w:left="141" w:right="631" w:firstLine="15"/>
              <w:rPr>
                <w:rFonts w:ascii="Verdana" w:eastAsia="Verdana" w:hAnsi="Verdana" w:cs="Verdana"/>
                <w:sz w:val="18"/>
                <w:szCs w:val="18"/>
              </w:rPr>
            </w:pPr>
            <w:r w:rsidRPr="006E16E8">
              <w:rPr>
                <w:rFonts w:ascii="Verdana" w:eastAsia="Verdana" w:hAnsi="Verdana" w:cs="Verdana"/>
                <w:sz w:val="18"/>
                <w:szCs w:val="18"/>
              </w:rPr>
              <w:t>Lot Désignation</w:t>
            </w:r>
          </w:p>
        </w:tc>
        <w:tc>
          <w:tcPr>
            <w:tcW w:w="1377" w:type="pct"/>
            <w:shd w:val="clear" w:color="auto" w:fill="auto"/>
            <w:tcMar>
              <w:top w:w="100" w:type="dxa"/>
              <w:left w:w="100" w:type="dxa"/>
              <w:bottom w:w="100" w:type="dxa"/>
              <w:right w:w="100" w:type="dxa"/>
            </w:tcMar>
          </w:tcPr>
          <w:p w:rsidR="006E16E8" w:rsidRPr="006E16E8" w:rsidRDefault="006E16E8" w:rsidP="002326D5">
            <w:pPr>
              <w:spacing w:before="100"/>
              <w:ind w:left="141" w:right="631" w:firstLine="15"/>
              <w:rPr>
                <w:rFonts w:ascii="Verdana" w:eastAsia="Verdana" w:hAnsi="Verdana" w:cs="Verdana"/>
                <w:sz w:val="18"/>
                <w:szCs w:val="18"/>
              </w:rPr>
            </w:pPr>
            <w:r w:rsidRPr="006E16E8">
              <w:rPr>
                <w:rFonts w:ascii="Verdana" w:eastAsia="Verdana" w:hAnsi="Verdana" w:cs="Verdana"/>
                <w:sz w:val="18"/>
                <w:szCs w:val="18"/>
              </w:rPr>
              <w:t>Montant min. en € HT</w:t>
            </w:r>
          </w:p>
        </w:tc>
        <w:tc>
          <w:tcPr>
            <w:tcW w:w="1304" w:type="pct"/>
            <w:shd w:val="clear" w:color="auto" w:fill="auto"/>
            <w:tcMar>
              <w:top w:w="100" w:type="dxa"/>
              <w:left w:w="100" w:type="dxa"/>
              <w:bottom w:w="100" w:type="dxa"/>
              <w:right w:w="100" w:type="dxa"/>
            </w:tcMar>
          </w:tcPr>
          <w:p w:rsidR="006E16E8" w:rsidRPr="006E16E8" w:rsidRDefault="006E16E8" w:rsidP="002326D5">
            <w:pPr>
              <w:spacing w:before="100"/>
              <w:ind w:left="141" w:right="631" w:firstLine="15"/>
              <w:rPr>
                <w:rFonts w:ascii="Verdana" w:eastAsia="Verdana" w:hAnsi="Verdana" w:cs="Verdana"/>
                <w:sz w:val="18"/>
                <w:szCs w:val="18"/>
              </w:rPr>
            </w:pPr>
            <w:r w:rsidRPr="006E16E8">
              <w:rPr>
                <w:rFonts w:ascii="Verdana" w:eastAsia="Verdana" w:hAnsi="Verdana" w:cs="Verdana"/>
                <w:sz w:val="18"/>
                <w:szCs w:val="18"/>
              </w:rPr>
              <w:t>Montant max. en € HT</w:t>
            </w:r>
          </w:p>
        </w:tc>
      </w:tr>
      <w:tr w:rsidR="006E16E8" w:rsidRPr="00B048E5" w:rsidTr="006E16E8">
        <w:trPr>
          <w:trHeight w:val="283"/>
        </w:trPr>
        <w:tc>
          <w:tcPr>
            <w:tcW w:w="2319" w:type="pct"/>
            <w:tcBorders>
              <w:top w:val="single" w:sz="4" w:space="0" w:color="auto"/>
              <w:left w:val="single" w:sz="4" w:space="0" w:color="auto"/>
              <w:bottom w:val="single" w:sz="4" w:space="0" w:color="auto"/>
              <w:right w:val="single" w:sz="4" w:space="0" w:color="auto"/>
            </w:tcBorders>
            <w:tcMar>
              <w:top w:w="100" w:type="dxa"/>
              <w:left w:w="40" w:type="dxa"/>
              <w:bottom w:w="100" w:type="dxa"/>
              <w:right w:w="40" w:type="dxa"/>
            </w:tcMar>
          </w:tcPr>
          <w:p w:rsidR="006E16E8" w:rsidRPr="006E16E8" w:rsidRDefault="006E16E8" w:rsidP="002326D5">
            <w:pPr>
              <w:rPr>
                <w:rFonts w:ascii="Verdana" w:eastAsia="Verdana" w:hAnsi="Verdana" w:cs="Verdana"/>
                <w:sz w:val="18"/>
                <w:szCs w:val="18"/>
              </w:rPr>
            </w:pPr>
            <w:r w:rsidRPr="006E16E8">
              <w:rPr>
                <w:rFonts w:ascii="Verdana" w:eastAsia="Verdana" w:hAnsi="Verdana" w:cs="Verdana"/>
                <w:sz w:val="18"/>
                <w:szCs w:val="18"/>
              </w:rPr>
              <w:t>Lot 1 – Poissons et coquillages frais</w:t>
            </w:r>
          </w:p>
        </w:tc>
        <w:tc>
          <w:tcPr>
            <w:tcW w:w="1377" w:type="pct"/>
            <w:tcBorders>
              <w:left w:val="single" w:sz="4" w:space="0" w:color="auto"/>
            </w:tcBorders>
            <w:shd w:val="clear" w:color="auto" w:fill="auto"/>
            <w:tcMar>
              <w:top w:w="100" w:type="dxa"/>
              <w:left w:w="100" w:type="dxa"/>
              <w:bottom w:w="100" w:type="dxa"/>
              <w:right w:w="100" w:type="dxa"/>
            </w:tcMar>
          </w:tcPr>
          <w:p w:rsidR="006E16E8" w:rsidRPr="006E16E8" w:rsidRDefault="006E16E8" w:rsidP="002326D5">
            <w:pPr>
              <w:rPr>
                <w:rFonts w:ascii="Verdana" w:eastAsia="Verdana" w:hAnsi="Verdana" w:cs="Verdana"/>
                <w:sz w:val="18"/>
                <w:szCs w:val="18"/>
              </w:rPr>
            </w:pPr>
            <w:r w:rsidRPr="006E16E8">
              <w:rPr>
                <w:rFonts w:ascii="Verdana" w:eastAsia="Verdana" w:hAnsi="Verdana" w:cs="Verdana"/>
                <w:color w:val="FF0000"/>
                <w:sz w:val="18"/>
                <w:szCs w:val="18"/>
              </w:rPr>
              <w:t>XXX</w:t>
            </w:r>
          </w:p>
        </w:tc>
        <w:tc>
          <w:tcPr>
            <w:tcW w:w="1304" w:type="pct"/>
            <w:shd w:val="clear" w:color="auto" w:fill="auto"/>
            <w:tcMar>
              <w:top w:w="100" w:type="dxa"/>
              <w:left w:w="100" w:type="dxa"/>
              <w:bottom w:w="100" w:type="dxa"/>
              <w:right w:w="100" w:type="dxa"/>
            </w:tcMar>
          </w:tcPr>
          <w:p w:rsidR="006E16E8" w:rsidRPr="006E16E8" w:rsidRDefault="006E16E8" w:rsidP="002326D5">
            <w:pPr>
              <w:ind w:right="631"/>
              <w:rPr>
                <w:rFonts w:ascii="Verdana" w:eastAsia="Verdana" w:hAnsi="Verdana" w:cs="Verdana"/>
                <w:sz w:val="18"/>
                <w:szCs w:val="18"/>
              </w:rPr>
            </w:pPr>
            <w:r w:rsidRPr="006E16E8">
              <w:rPr>
                <w:rFonts w:ascii="Verdana" w:eastAsia="Verdana" w:hAnsi="Verdana" w:cs="Verdana"/>
                <w:color w:val="FF0000"/>
                <w:sz w:val="18"/>
                <w:szCs w:val="18"/>
              </w:rPr>
              <w:t>XXX</w:t>
            </w:r>
          </w:p>
        </w:tc>
      </w:tr>
      <w:tr w:rsidR="006E16E8" w:rsidRPr="00B048E5" w:rsidTr="006E16E8">
        <w:tc>
          <w:tcPr>
            <w:tcW w:w="2319" w:type="pct"/>
            <w:tcBorders>
              <w:top w:val="single" w:sz="4" w:space="0" w:color="auto"/>
              <w:left w:val="single" w:sz="4" w:space="0" w:color="auto"/>
              <w:bottom w:val="single" w:sz="4" w:space="0" w:color="auto"/>
              <w:right w:val="single" w:sz="4" w:space="0" w:color="auto"/>
            </w:tcBorders>
            <w:tcMar>
              <w:top w:w="100" w:type="dxa"/>
              <w:left w:w="40" w:type="dxa"/>
              <w:bottom w:w="100" w:type="dxa"/>
              <w:right w:w="40" w:type="dxa"/>
            </w:tcMar>
          </w:tcPr>
          <w:p w:rsidR="006E16E8" w:rsidRPr="006E16E8" w:rsidRDefault="006E16E8" w:rsidP="002326D5">
            <w:pPr>
              <w:rPr>
                <w:rFonts w:ascii="Verdana" w:eastAsia="Verdana" w:hAnsi="Verdana" w:cs="Verdana"/>
                <w:sz w:val="18"/>
                <w:szCs w:val="18"/>
              </w:rPr>
            </w:pPr>
            <w:r w:rsidRPr="003F2330">
              <w:rPr>
                <w:rFonts w:ascii="Verdana" w:eastAsia="Verdana" w:hAnsi="Verdana" w:cs="Verdana"/>
                <w:sz w:val="18"/>
                <w:szCs w:val="18"/>
              </w:rPr>
              <w:t>Lot 2 – Poissons et coquillages surgelés</w:t>
            </w:r>
          </w:p>
        </w:tc>
        <w:tc>
          <w:tcPr>
            <w:tcW w:w="1377" w:type="pct"/>
            <w:tcBorders>
              <w:left w:val="single" w:sz="4" w:space="0" w:color="auto"/>
            </w:tcBorders>
            <w:shd w:val="clear" w:color="auto" w:fill="auto"/>
            <w:tcMar>
              <w:top w:w="100" w:type="dxa"/>
              <w:left w:w="100" w:type="dxa"/>
              <w:bottom w:w="100" w:type="dxa"/>
              <w:right w:w="100" w:type="dxa"/>
            </w:tcMar>
          </w:tcPr>
          <w:p w:rsidR="006E16E8" w:rsidRPr="006E16E8" w:rsidRDefault="006E16E8" w:rsidP="002326D5">
            <w:pPr>
              <w:rPr>
                <w:rFonts w:ascii="Verdana" w:eastAsia="Verdana" w:hAnsi="Verdana" w:cs="Verdana"/>
                <w:sz w:val="18"/>
                <w:szCs w:val="18"/>
              </w:rPr>
            </w:pPr>
            <w:r w:rsidRPr="006E16E8">
              <w:rPr>
                <w:rFonts w:ascii="Verdana" w:eastAsia="Verdana" w:hAnsi="Verdana" w:cs="Verdana"/>
                <w:color w:val="FF0000"/>
                <w:sz w:val="18"/>
                <w:szCs w:val="18"/>
              </w:rPr>
              <w:t>XXX</w:t>
            </w:r>
          </w:p>
        </w:tc>
        <w:tc>
          <w:tcPr>
            <w:tcW w:w="1304" w:type="pct"/>
            <w:shd w:val="clear" w:color="auto" w:fill="auto"/>
            <w:tcMar>
              <w:top w:w="100" w:type="dxa"/>
              <w:left w:w="100" w:type="dxa"/>
              <w:bottom w:w="100" w:type="dxa"/>
              <w:right w:w="100" w:type="dxa"/>
            </w:tcMar>
          </w:tcPr>
          <w:p w:rsidR="006E16E8" w:rsidRPr="006E16E8" w:rsidRDefault="006E16E8" w:rsidP="002326D5">
            <w:pPr>
              <w:rPr>
                <w:rFonts w:ascii="Verdana" w:eastAsia="Verdana" w:hAnsi="Verdana" w:cs="Verdana"/>
                <w:sz w:val="18"/>
                <w:szCs w:val="18"/>
              </w:rPr>
            </w:pPr>
            <w:r w:rsidRPr="006E16E8">
              <w:rPr>
                <w:rFonts w:ascii="Verdana" w:eastAsia="Verdana" w:hAnsi="Verdana" w:cs="Verdana"/>
                <w:color w:val="FF0000"/>
                <w:sz w:val="18"/>
                <w:szCs w:val="18"/>
              </w:rPr>
              <w:t>XXX</w:t>
            </w:r>
          </w:p>
        </w:tc>
      </w:tr>
    </w:tbl>
    <w:p w:rsidR="005F7DCD" w:rsidRDefault="005F7DCD">
      <w:pPr>
        <w:ind w:left="1134"/>
        <w:jc w:val="both"/>
        <w:rPr>
          <w:color w:val="FF000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838"/>
      </w:tblGrid>
      <w:tr w:rsidR="006E16E8" w:rsidRPr="00B048E5" w:rsidTr="002326D5">
        <w:tc>
          <w:tcPr>
            <w:tcW w:w="5000" w:type="pct"/>
            <w:shd w:val="clear" w:color="auto" w:fill="F9CB9C"/>
            <w:tcMar>
              <w:top w:w="100" w:type="dxa"/>
              <w:left w:w="100" w:type="dxa"/>
              <w:bottom w:w="100" w:type="dxa"/>
              <w:right w:w="100" w:type="dxa"/>
            </w:tcMar>
          </w:tcPr>
          <w:p w:rsidR="006E16E8" w:rsidRPr="00B048E5" w:rsidRDefault="006E16E8" w:rsidP="002326D5">
            <w:pPr>
              <w:spacing w:before="100"/>
              <w:ind w:right="631" w:firstLine="15"/>
              <w:rPr>
                <w:rFonts w:ascii="Verdana" w:eastAsia="Verdana" w:hAnsi="Verdana" w:cs="Verdana"/>
                <w:i/>
                <w:u w:val="single"/>
              </w:rPr>
            </w:pPr>
            <w:r w:rsidRPr="00B048E5">
              <w:rPr>
                <w:rFonts w:ascii="Verdana" w:eastAsia="Verdana" w:hAnsi="Verdana" w:cs="Verdana"/>
                <w:i/>
                <w:u w:val="single"/>
              </w:rPr>
              <w:t>Commentaires :</w:t>
            </w:r>
          </w:p>
          <w:p w:rsidR="006E16E8" w:rsidRPr="00B048E5" w:rsidRDefault="006E16E8" w:rsidP="002326D5">
            <w:pPr>
              <w:spacing w:before="100"/>
              <w:ind w:right="631" w:firstLine="15"/>
              <w:rPr>
                <w:rFonts w:ascii="Verdana" w:eastAsia="Verdana" w:hAnsi="Verdana" w:cs="Verdana"/>
                <w:b/>
                <w:i/>
                <w:u w:val="single"/>
              </w:rPr>
            </w:pPr>
            <w:r w:rsidRPr="00B048E5">
              <w:rPr>
                <w:rFonts w:ascii="Verdana" w:eastAsia="Verdana" w:hAnsi="Verdana" w:cs="Verdana"/>
                <w:b/>
                <w:i/>
                <w:u w:val="single"/>
              </w:rPr>
              <w:t>Rapprochez-vous de la Nomenclature pour avoir une proposition plus large de lots notamment pour les lots Circuits-courts, sous signes de qualité et Bio</w:t>
            </w:r>
            <w:r w:rsidR="003F2330">
              <w:rPr>
                <w:rFonts w:ascii="Verdana" w:eastAsia="Verdana" w:hAnsi="Verdana" w:cs="Verdana"/>
                <w:b/>
                <w:i/>
                <w:u w:val="single"/>
              </w:rPr>
              <w:t>.</w:t>
            </w:r>
          </w:p>
          <w:p w:rsidR="006E16E8" w:rsidRPr="00B048E5" w:rsidRDefault="006E16E8" w:rsidP="002326D5">
            <w:pPr>
              <w:spacing w:before="100"/>
              <w:ind w:right="631" w:firstLine="15"/>
              <w:rPr>
                <w:rFonts w:ascii="Verdana" w:eastAsia="Verdana" w:hAnsi="Verdana" w:cs="Verdana"/>
                <w:i/>
              </w:rPr>
            </w:pPr>
            <w:r w:rsidRPr="00B048E5">
              <w:rPr>
                <w:rFonts w:ascii="Verdana" w:eastAsia="Verdana" w:hAnsi="Verdana" w:cs="Verdana"/>
                <w:i/>
              </w:rPr>
              <w:t>Le découpage des prestations en lots doit correspondre aux besoins et tenir compte de la réalité du secteur économique.</w:t>
            </w:r>
          </w:p>
          <w:p w:rsidR="006E16E8" w:rsidRPr="00B048E5" w:rsidRDefault="006E16E8" w:rsidP="002326D5">
            <w:pPr>
              <w:spacing w:before="100"/>
              <w:ind w:right="631" w:firstLine="15"/>
              <w:rPr>
                <w:rFonts w:ascii="Verdana" w:eastAsia="Verdana" w:hAnsi="Verdana" w:cs="Verdana"/>
                <w:i/>
              </w:rPr>
            </w:pPr>
            <w:r w:rsidRPr="00B048E5">
              <w:rPr>
                <w:rFonts w:ascii="Verdana" w:eastAsia="Verdana" w:hAnsi="Verdana" w:cs="Verdana"/>
                <w:i/>
              </w:rPr>
              <w:t>Comme évoqué précédemment dans le règlement de la consultation, la détermination de montants minimum et maximum permet de mieux cadrer l’exécution du marché.</w:t>
            </w:r>
          </w:p>
          <w:p w:rsidR="006E16E8" w:rsidRPr="00B048E5" w:rsidRDefault="006E16E8" w:rsidP="002326D5">
            <w:pPr>
              <w:spacing w:before="100"/>
              <w:ind w:right="631"/>
              <w:rPr>
                <w:rFonts w:ascii="Verdana" w:eastAsia="Verdana" w:hAnsi="Verdana" w:cs="Verdana"/>
                <w:i/>
                <w:u w:val="single"/>
              </w:rPr>
            </w:pPr>
            <w:r w:rsidRPr="00B048E5">
              <w:rPr>
                <w:rFonts w:ascii="Verdana" w:eastAsia="Verdana" w:hAnsi="Verdana" w:cs="Verdana"/>
                <w:i/>
              </w:rPr>
              <w:t>Cet encadrement des commandes, profitable notamment au titulaire du marché (celui-ci est certain de bénéficier d’un volume de commandes minimum sur la durée du contrat) implique un suivi rigoureux de l’établissement.</w:t>
            </w:r>
          </w:p>
        </w:tc>
      </w:tr>
    </w:tbl>
    <w:p w:rsidR="005F7DCD" w:rsidRDefault="005F7DCD">
      <w:pPr>
        <w:rPr>
          <w:sz w:val="24"/>
          <w:szCs w:val="24"/>
        </w:rPr>
      </w:pPr>
    </w:p>
    <w:p w:rsidR="006E16E8" w:rsidRDefault="006E16E8">
      <w:pPr>
        <w:rPr>
          <w:sz w:val="24"/>
          <w:szCs w:val="24"/>
        </w:rPr>
      </w:pPr>
    </w:p>
    <w:p w:rsidR="005F7DCD" w:rsidRDefault="005F7DCD">
      <w:pPr>
        <w:ind w:left="1134"/>
        <w:jc w:val="both"/>
        <w:rPr>
          <w:color w:val="FF0000"/>
        </w:rPr>
      </w:pPr>
    </w:p>
    <w:p w:rsidR="005F7DCD" w:rsidRDefault="005F7DCD">
      <w:pPr>
        <w:pBdr>
          <w:top w:val="nil"/>
          <w:left w:val="nil"/>
          <w:bottom w:val="nil"/>
          <w:right w:val="nil"/>
          <w:between w:val="nil"/>
        </w:pBdr>
        <w:ind w:firstLine="708"/>
        <w:jc w:val="both"/>
        <w:rPr>
          <w:rFonts w:ascii="Verdana" w:eastAsia="Verdana" w:hAnsi="Verdana" w:cs="Verdana"/>
          <w:color w:val="000000"/>
        </w:rPr>
      </w:pPr>
    </w:p>
    <w:p w:rsidR="005F7DCD" w:rsidRDefault="00E74E82">
      <w:pPr>
        <w:jc w:val="both"/>
        <w:rPr>
          <w:rFonts w:ascii="Verdana" w:eastAsia="Verdana" w:hAnsi="Verdana" w:cs="Verdana"/>
        </w:rPr>
      </w:pPr>
      <w:r>
        <w:rPr>
          <w:rFonts w:ascii="Verdana" w:eastAsia="Verdana" w:hAnsi="Verdana" w:cs="Verdana"/>
        </w:rPr>
        <w:t xml:space="preserve">Ce marché de fournitures est conclu pour une </w:t>
      </w:r>
      <w:r>
        <w:rPr>
          <w:rFonts w:ascii="Verdana" w:eastAsia="Verdana" w:hAnsi="Verdana" w:cs="Verdana"/>
          <w:b/>
          <w:sz w:val="18"/>
          <w:szCs w:val="18"/>
        </w:rPr>
        <w:t xml:space="preserve">période de </w:t>
      </w:r>
      <w:r>
        <w:rPr>
          <w:rFonts w:ascii="Verdana" w:eastAsia="Verdana" w:hAnsi="Verdana" w:cs="Verdana"/>
          <w:b/>
        </w:rPr>
        <w:t xml:space="preserve">... année(s), de … à </w:t>
      </w:r>
      <w:proofErr w:type="gramStart"/>
      <w:r>
        <w:rPr>
          <w:rFonts w:ascii="Verdana" w:eastAsia="Verdana" w:hAnsi="Verdana" w:cs="Verdana"/>
          <w:b/>
        </w:rPr>
        <w:t>… ,</w:t>
      </w:r>
      <w:proofErr w:type="gramEnd"/>
      <w:r>
        <w:rPr>
          <w:rFonts w:ascii="Verdana" w:eastAsia="Verdana" w:hAnsi="Verdana" w:cs="Verdana"/>
          <w:b/>
        </w:rPr>
        <w:t xml:space="preserve"> renouvelable … fois.</w:t>
      </w:r>
    </w:p>
    <w:p w:rsidR="005F7DCD" w:rsidRDefault="00E74E82">
      <w:pPr>
        <w:jc w:val="both"/>
        <w:rPr>
          <w:rFonts w:ascii="Verdana" w:eastAsia="Verdana" w:hAnsi="Verdana" w:cs="Verdana"/>
        </w:rPr>
      </w:pPr>
      <w:r>
        <w:rPr>
          <w:rFonts w:ascii="Verdana" w:eastAsia="Verdana" w:hAnsi="Verdana" w:cs="Verdana"/>
        </w:rPr>
        <w:t>Le présent descriptif technique des fournitures comprises dans ces lots (caractéristiques, qualité exigée, quantité et conditionnement des produits) est valable pendant toute la durée de ce marché, reconduction comprise.</w:t>
      </w:r>
    </w:p>
    <w:p w:rsidR="005F7DCD" w:rsidRDefault="005F7DCD">
      <w:pPr>
        <w:jc w:val="both"/>
        <w:rPr>
          <w:rFonts w:ascii="Verdana" w:eastAsia="Verdana" w:hAnsi="Verdana" w:cs="Verdana"/>
          <w:sz w:val="22"/>
          <w:szCs w:val="22"/>
        </w:rPr>
      </w:pPr>
    </w:p>
    <w:p w:rsidR="005F7DCD" w:rsidRDefault="005F7DCD">
      <w:pPr>
        <w:jc w:val="both"/>
        <w:rPr>
          <w:rFonts w:ascii="Verdana" w:eastAsia="Verdana" w:hAnsi="Verdana" w:cs="Verdana"/>
          <w:sz w:val="22"/>
          <w:szCs w:val="22"/>
          <w:u w:val="single"/>
        </w:rPr>
      </w:pPr>
    </w:p>
    <w:p w:rsidR="005F7DCD" w:rsidRDefault="005F7DCD">
      <w:pPr>
        <w:jc w:val="both"/>
        <w:rPr>
          <w:rFonts w:ascii="Verdana" w:eastAsia="Verdana" w:hAnsi="Verdana" w:cs="Verdana"/>
          <w:sz w:val="22"/>
          <w:szCs w:val="22"/>
          <w:u w:val="single"/>
        </w:rPr>
      </w:pPr>
    </w:p>
    <w:p w:rsidR="005F7DCD" w:rsidRDefault="00E74E82">
      <w:pPr>
        <w:pBdr>
          <w:top w:val="single" w:sz="4" w:space="1" w:color="000000"/>
          <w:left w:val="single" w:sz="4" w:space="4" w:color="000000"/>
          <w:bottom w:val="single" w:sz="4" w:space="1" w:color="000000"/>
          <w:right w:val="single" w:sz="4" w:space="4" w:color="000000"/>
        </w:pBdr>
        <w:jc w:val="both"/>
        <w:rPr>
          <w:rFonts w:ascii="Verdana" w:eastAsia="Verdana" w:hAnsi="Verdana" w:cs="Verdana"/>
          <w:sz w:val="22"/>
          <w:szCs w:val="22"/>
        </w:rPr>
      </w:pPr>
      <w:r>
        <w:rPr>
          <w:rFonts w:ascii="Verdana" w:eastAsia="Verdana" w:hAnsi="Verdana" w:cs="Verdana"/>
          <w:b/>
          <w:sz w:val="22"/>
          <w:szCs w:val="22"/>
        </w:rPr>
        <w:t>2 – DESCRIPTIF TECHNIQUE DES FOURNITURES</w:t>
      </w:r>
    </w:p>
    <w:p w:rsidR="005F7DCD" w:rsidRDefault="00E74E82">
      <w:pPr>
        <w:jc w:val="both"/>
        <w:rPr>
          <w:rFonts w:ascii="Verdana" w:eastAsia="Verdana" w:hAnsi="Verdana" w:cs="Verdana"/>
        </w:rPr>
      </w:pPr>
      <w:r>
        <w:rPr>
          <w:rFonts w:ascii="Verdana" w:eastAsia="Verdana" w:hAnsi="Verdana" w:cs="Verdana"/>
        </w:rPr>
        <w:tab/>
      </w:r>
    </w:p>
    <w:p w:rsidR="006E16E8" w:rsidRPr="00B048E5" w:rsidRDefault="006E16E8" w:rsidP="006E16E8">
      <w:pPr>
        <w:spacing w:before="196"/>
        <w:ind w:firstLine="10"/>
        <w:rPr>
          <w:rFonts w:ascii="Verdana" w:eastAsia="Verdana" w:hAnsi="Verdana" w:cs="Verdana"/>
        </w:rPr>
      </w:pPr>
      <w:r w:rsidRPr="00B048E5">
        <w:rPr>
          <w:rFonts w:ascii="Verdana" w:eastAsia="Verdana" w:hAnsi="Verdana" w:cs="Verdana"/>
        </w:rPr>
        <w:t>Le présent descriptif technique des fournitures comprises dans ces lots (caractéristiques, qualité exigée, quantité et conditionnement des produits) est valable pendant toute la durée de ce marché, reconduction comprise.</w:t>
      </w:r>
    </w:p>
    <w:p w:rsidR="006E16E8" w:rsidRPr="00B048E5" w:rsidRDefault="006E16E8" w:rsidP="006E16E8">
      <w:pPr>
        <w:spacing w:before="196"/>
        <w:ind w:firstLine="10"/>
        <w:rPr>
          <w:rFonts w:ascii="Verdana" w:eastAsia="Verdana" w:hAnsi="Verdana" w:cs="Verdana"/>
        </w:rPr>
      </w:pPr>
      <w:r w:rsidRPr="00B048E5">
        <w:rPr>
          <w:rFonts w:ascii="Verdana" w:eastAsia="Verdana" w:hAnsi="Verdana" w:cs="Verdana"/>
        </w:rPr>
        <w:t>Pour chaque lot, les spécificités techniques devront être respectées comme suit.</w:t>
      </w:r>
    </w:p>
    <w:p w:rsidR="006E16E8" w:rsidRDefault="006E16E8">
      <w:pPr>
        <w:jc w:val="both"/>
        <w:rPr>
          <w:rFonts w:ascii="Verdana" w:eastAsia="Verdana" w:hAnsi="Verdana" w:cs="Verdana"/>
        </w:rPr>
      </w:pPr>
    </w:p>
    <w:tbl>
      <w:tblPr>
        <w:tblStyle w:val="a5"/>
        <w:tblW w:w="9838" w:type="dxa"/>
        <w:tblInd w:w="0" w:type="dxa"/>
        <w:tblLayout w:type="fixed"/>
        <w:tblLook w:val="0400" w:firstRow="0" w:lastRow="0" w:firstColumn="0" w:lastColumn="0" w:noHBand="0" w:noVBand="1"/>
      </w:tblPr>
      <w:tblGrid>
        <w:gridCol w:w="9838"/>
      </w:tblGrid>
      <w:tr w:rsidR="005F7DCD">
        <w:tc>
          <w:tcPr>
            <w:tcW w:w="9838"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tcPr>
          <w:p w:rsidR="005F7DCD" w:rsidRDefault="00E74E82">
            <w:pPr>
              <w:rPr>
                <w:sz w:val="24"/>
                <w:szCs w:val="24"/>
              </w:rPr>
            </w:pPr>
            <w:r>
              <w:rPr>
                <w:rFonts w:ascii="Verdana" w:eastAsia="Verdana" w:hAnsi="Verdana" w:cs="Verdana"/>
                <w:i/>
                <w:color w:val="000000"/>
                <w:u w:val="single"/>
              </w:rPr>
              <w:t>Commentaire :</w:t>
            </w:r>
            <w:r w:rsidR="003F2330">
              <w:rPr>
                <w:rFonts w:ascii="Verdana" w:eastAsia="Verdana" w:hAnsi="Verdana" w:cs="Verdana"/>
                <w:i/>
                <w:color w:val="000000"/>
              </w:rPr>
              <w:t xml:space="preserve"> d</w:t>
            </w:r>
            <w:r>
              <w:rPr>
                <w:rFonts w:ascii="Verdana" w:eastAsia="Verdana" w:hAnsi="Verdana" w:cs="Verdana"/>
                <w:i/>
                <w:color w:val="000000"/>
              </w:rPr>
              <w:t>ans cette partie</w:t>
            </w:r>
            <w:r w:rsidR="003F2330">
              <w:rPr>
                <w:rFonts w:ascii="Verdana" w:eastAsia="Verdana" w:hAnsi="Verdana" w:cs="Verdana"/>
                <w:i/>
                <w:color w:val="000000"/>
              </w:rPr>
              <w:t>,</w:t>
            </w:r>
            <w:r>
              <w:rPr>
                <w:rFonts w:ascii="Verdana" w:eastAsia="Verdana" w:hAnsi="Verdana" w:cs="Verdana"/>
                <w:i/>
                <w:color w:val="000000"/>
              </w:rPr>
              <w:t xml:space="preserve"> il est très important de bien définir et décrire le produit attendu.</w:t>
            </w:r>
          </w:p>
        </w:tc>
      </w:tr>
    </w:tbl>
    <w:p w:rsidR="005F7DCD" w:rsidRDefault="005F7DCD">
      <w:pPr>
        <w:jc w:val="both"/>
        <w:rPr>
          <w:rFonts w:ascii="Verdana" w:eastAsia="Verdana" w:hAnsi="Verdana" w:cs="Verdana"/>
        </w:rPr>
      </w:pPr>
    </w:p>
    <w:p w:rsidR="005F7DCD" w:rsidRDefault="005F7DCD">
      <w:pPr>
        <w:jc w:val="both"/>
        <w:rPr>
          <w:rFonts w:ascii="Verdana" w:eastAsia="Verdana" w:hAnsi="Verdana" w:cs="Verdana"/>
        </w:rPr>
      </w:pPr>
    </w:p>
    <w:p w:rsidR="005F7DCD" w:rsidRDefault="00E74E82">
      <w:pPr>
        <w:numPr>
          <w:ilvl w:val="0"/>
          <w:numId w:val="4"/>
        </w:numPr>
        <w:jc w:val="both"/>
        <w:rPr>
          <w:rFonts w:ascii="Verdana" w:eastAsia="Verdana" w:hAnsi="Verdana" w:cs="Verdana"/>
        </w:rPr>
      </w:pPr>
      <w:r>
        <w:rPr>
          <w:rFonts w:ascii="Verdana" w:eastAsia="Verdana" w:hAnsi="Verdana" w:cs="Verdana"/>
          <w:b/>
          <w:i/>
        </w:rPr>
        <w:t>Caractéristiques et qualité</w:t>
      </w:r>
    </w:p>
    <w:p w:rsidR="005F7DCD" w:rsidRDefault="005F7DCD">
      <w:pPr>
        <w:jc w:val="both"/>
        <w:rPr>
          <w:rFonts w:ascii="Verdana" w:eastAsia="Verdana" w:hAnsi="Verdana" w:cs="Verdana"/>
        </w:rPr>
      </w:pPr>
    </w:p>
    <w:p w:rsidR="006E16E8" w:rsidRPr="00B048E5" w:rsidRDefault="006E16E8" w:rsidP="006E16E8">
      <w:pPr>
        <w:ind w:left="142"/>
        <w:rPr>
          <w:rFonts w:ascii="Verdana" w:eastAsia="Calibri" w:hAnsi="Verdana" w:cs="Calibri"/>
        </w:rPr>
      </w:pPr>
      <w:r w:rsidRPr="00B048E5">
        <w:rPr>
          <w:rFonts w:ascii="Verdana" w:eastAsia="Verdana" w:hAnsi="Verdana" w:cs="Verdana"/>
          <w:b/>
        </w:rPr>
        <w:t xml:space="preserve">Pour les deux lots, </w:t>
      </w:r>
      <w:r w:rsidRPr="00B048E5">
        <w:rPr>
          <w:rFonts w:ascii="Verdana" w:eastAsia="Calibri" w:hAnsi="Verdana" w:cs="Calibri"/>
        </w:rPr>
        <w:t>Les produits proposés doivent répondre à toutes les spécifications énoncées dans les lois et les décrets se rapportant aux denrées alimentaires destinées à l’alimentation humaine et applicables pendant la période d’exécution du marché. Ils doivent êtres en tous points conformes à la réglementation en vigueur les concernant et prévus par les différents textes (Code de la consommation, règlement européen, loi française, code des usages, normes AFNOR).</w:t>
      </w:r>
    </w:p>
    <w:p w:rsidR="006E16E8" w:rsidRPr="00B048E5" w:rsidRDefault="006E16E8" w:rsidP="006E16E8">
      <w:pPr>
        <w:ind w:left="142"/>
        <w:rPr>
          <w:rFonts w:asciiTheme="majorHAnsi" w:eastAsia="Verdana" w:hAnsiTheme="majorHAnsi" w:cstheme="majorHAnsi"/>
        </w:rPr>
      </w:pPr>
    </w:p>
    <w:p w:rsidR="006E16E8" w:rsidRPr="00B048E5" w:rsidRDefault="006E16E8" w:rsidP="006E16E8">
      <w:pPr>
        <w:ind w:left="142"/>
        <w:rPr>
          <w:rFonts w:ascii="Verdana" w:eastAsia="Verdana" w:hAnsi="Verdana" w:cs="Verdana"/>
        </w:rPr>
      </w:pPr>
      <w:r w:rsidRPr="00B048E5">
        <w:rPr>
          <w:rFonts w:ascii="Verdana" w:eastAsia="Verdana" w:hAnsi="Verdana" w:cstheme="majorHAnsi"/>
        </w:rPr>
        <w:t xml:space="preserve">En particulier, </w:t>
      </w:r>
      <w:r w:rsidRPr="00B048E5">
        <w:rPr>
          <w:rFonts w:ascii="Verdana" w:eastAsia="Verdana" w:hAnsi="Verdana" w:cs="Verdana"/>
        </w:rPr>
        <w:t>les produits devront être conformes aux normes suivantes à la date de leur livraison :</w:t>
      </w:r>
    </w:p>
    <w:p w:rsidR="006E16E8" w:rsidRPr="00B048E5" w:rsidRDefault="006E16E8" w:rsidP="006E16E8">
      <w:pPr>
        <w:numPr>
          <w:ilvl w:val="0"/>
          <w:numId w:val="6"/>
        </w:numPr>
        <w:ind w:left="1134" w:hanging="284"/>
      </w:pPr>
      <w:r w:rsidRPr="00B048E5">
        <w:rPr>
          <w:rFonts w:ascii="Verdana" w:eastAsia="Verdana" w:hAnsi="Verdana" w:cs="Verdana"/>
        </w:rPr>
        <w:t>Réglementation générale applicable aux denrées alimentaires – Code de la Consommation.</w:t>
      </w:r>
    </w:p>
    <w:p w:rsidR="006E16E8" w:rsidRPr="00B048E5" w:rsidRDefault="006E16E8" w:rsidP="006E16E8">
      <w:pPr>
        <w:numPr>
          <w:ilvl w:val="0"/>
          <w:numId w:val="6"/>
        </w:numPr>
        <w:ind w:left="1134" w:hanging="284"/>
      </w:pPr>
      <w:r w:rsidRPr="00B048E5">
        <w:rPr>
          <w:rFonts w:ascii="Verdana" w:eastAsia="Verdana" w:hAnsi="Verdana" w:cs="Verdana"/>
        </w:rPr>
        <w:t>Réglementation spécifique d’hygiène applicable aux denrées alimentaires d’origine animale - Paquet Hygiène.</w:t>
      </w:r>
    </w:p>
    <w:p w:rsidR="006E16E8" w:rsidRPr="00B048E5" w:rsidRDefault="006E16E8" w:rsidP="006E16E8">
      <w:pPr>
        <w:numPr>
          <w:ilvl w:val="0"/>
          <w:numId w:val="6"/>
        </w:numPr>
        <w:ind w:left="1134" w:hanging="284"/>
      </w:pPr>
      <w:r w:rsidRPr="00B048E5">
        <w:rPr>
          <w:rFonts w:ascii="Verdana" w:eastAsia="Verdana" w:hAnsi="Verdana" w:cs="Verdana"/>
        </w:rPr>
        <w:t>Réglementation générale applicable à la restauration collective et recommandations du GEMRCN.</w:t>
      </w:r>
    </w:p>
    <w:p w:rsidR="006E16E8" w:rsidRPr="00B048E5" w:rsidRDefault="006E16E8" w:rsidP="006E16E8">
      <w:pPr>
        <w:numPr>
          <w:ilvl w:val="0"/>
          <w:numId w:val="6"/>
        </w:numPr>
        <w:ind w:left="1134" w:hanging="284"/>
      </w:pPr>
      <w:r w:rsidRPr="00B048E5">
        <w:rPr>
          <w:rFonts w:ascii="Verdana" w:eastAsia="Verdana" w:hAnsi="Verdana" w:cs="Verdana"/>
        </w:rPr>
        <w:t>Spécifications GPEM en vigueur.</w:t>
      </w:r>
    </w:p>
    <w:p w:rsidR="006E16E8" w:rsidRPr="00B048E5" w:rsidRDefault="006E16E8" w:rsidP="006E16E8">
      <w:pPr>
        <w:ind w:left="142"/>
        <w:rPr>
          <w:rFonts w:ascii="Verdana" w:eastAsia="Verdana" w:hAnsi="Verdana" w:cs="Verdana"/>
        </w:rPr>
      </w:pPr>
    </w:p>
    <w:p w:rsidR="006E16E8" w:rsidRPr="00B048E5" w:rsidRDefault="006E16E8" w:rsidP="006E16E8">
      <w:pPr>
        <w:ind w:left="142"/>
        <w:rPr>
          <w:rFonts w:ascii="Verdana" w:eastAsia="Verdana" w:hAnsi="Verdana" w:cs="Verdana"/>
        </w:rPr>
      </w:pPr>
      <w:r w:rsidRPr="00B048E5">
        <w:rPr>
          <w:rFonts w:ascii="Verdana" w:eastAsia="Verdana" w:hAnsi="Verdana" w:cs="Verdana"/>
        </w:rPr>
        <w:t>Les découpes, filets et portions de poissons proposés sont majoritairement issues de filières d’approvisionnements responsables (label MSC) et/ou bénéficiant d’un système officiel de gestion des pêches impliquant :</w:t>
      </w:r>
    </w:p>
    <w:p w:rsidR="006E16E8" w:rsidRPr="00B048E5" w:rsidRDefault="006E16E8" w:rsidP="006E16E8">
      <w:pPr>
        <w:numPr>
          <w:ilvl w:val="0"/>
          <w:numId w:val="7"/>
        </w:numPr>
        <w:ind w:left="1134" w:hanging="284"/>
      </w:pPr>
      <w:r w:rsidRPr="00B048E5">
        <w:rPr>
          <w:rFonts w:ascii="Verdana" w:eastAsia="Verdana" w:hAnsi="Verdana" w:cs="Verdana"/>
        </w:rPr>
        <w:t>un suivi de l’état des stocks et/ou une adaptation des captures,</w:t>
      </w:r>
    </w:p>
    <w:p w:rsidR="006E16E8" w:rsidRPr="00B048E5" w:rsidRDefault="006E16E8" w:rsidP="006E16E8">
      <w:pPr>
        <w:numPr>
          <w:ilvl w:val="0"/>
          <w:numId w:val="7"/>
        </w:numPr>
        <w:ind w:left="1134" w:hanging="284"/>
      </w:pPr>
      <w:r w:rsidRPr="00B048E5">
        <w:rPr>
          <w:rFonts w:ascii="Verdana" w:eastAsia="Verdana" w:hAnsi="Verdana" w:cs="Verdana"/>
        </w:rPr>
        <w:t>une maitrise de l’impact de la pêche sur l’écosystème,</w:t>
      </w:r>
    </w:p>
    <w:p w:rsidR="006E16E8" w:rsidRPr="00B048E5" w:rsidRDefault="006E16E8" w:rsidP="006E16E8">
      <w:pPr>
        <w:numPr>
          <w:ilvl w:val="0"/>
          <w:numId w:val="7"/>
        </w:numPr>
        <w:ind w:left="1134" w:hanging="284"/>
      </w:pPr>
      <w:r w:rsidRPr="00B048E5">
        <w:rPr>
          <w:rFonts w:ascii="Verdana" w:eastAsia="Verdana" w:hAnsi="Verdana" w:cs="Verdana"/>
        </w:rPr>
        <w:t>un dispositif de contrôle effectif et adéquat.</w:t>
      </w:r>
    </w:p>
    <w:p w:rsidR="006E16E8" w:rsidRPr="00B048E5" w:rsidRDefault="006E16E8" w:rsidP="006E16E8">
      <w:pPr>
        <w:ind w:left="142"/>
        <w:rPr>
          <w:rFonts w:ascii="Verdana" w:eastAsia="Verdana" w:hAnsi="Verdana" w:cs="Verdana"/>
        </w:rPr>
      </w:pPr>
    </w:p>
    <w:p w:rsidR="006E16E8" w:rsidRPr="00B048E5" w:rsidRDefault="006E16E8" w:rsidP="006E16E8">
      <w:pPr>
        <w:spacing w:line="276" w:lineRule="auto"/>
        <w:ind w:left="142"/>
        <w:rPr>
          <w:rFonts w:ascii="Verdana" w:eastAsia="Verdana" w:hAnsi="Verdana" w:cs="Verdana"/>
          <w:i/>
        </w:rPr>
      </w:pPr>
      <w:r w:rsidRPr="00B048E5">
        <w:rPr>
          <w:rFonts w:ascii="Verdana" w:eastAsia="Verdana" w:hAnsi="Verdana" w:cs="Verdana"/>
        </w:rPr>
        <w:t>Les poissons devront</w:t>
      </w:r>
      <w:r w:rsidR="003F2330">
        <w:rPr>
          <w:rFonts w:ascii="Verdana" w:eastAsia="Verdana" w:hAnsi="Verdana" w:cs="Verdana"/>
        </w:rPr>
        <w:t xml:space="preserve"> ne pas comporter d’additifs. [</w:t>
      </w:r>
      <w:r w:rsidRPr="00B048E5">
        <w:rPr>
          <w:rFonts w:ascii="Verdana" w:eastAsia="Verdana" w:hAnsi="Verdana" w:cs="Verdana"/>
        </w:rPr>
        <w:t xml:space="preserve">En particulier, les additifs </w:t>
      </w:r>
      <w:proofErr w:type="spellStart"/>
      <w:r w:rsidRPr="00B048E5">
        <w:rPr>
          <w:rFonts w:ascii="Verdana" w:eastAsia="Verdana" w:hAnsi="Verdana" w:cs="Verdana"/>
        </w:rPr>
        <w:t>polyphosphatés</w:t>
      </w:r>
      <w:proofErr w:type="spellEnd"/>
      <w:r w:rsidRPr="00B048E5">
        <w:rPr>
          <w:rFonts w:ascii="Verdana" w:eastAsia="Verdana" w:hAnsi="Verdana" w:cs="Verdana"/>
        </w:rPr>
        <w:t xml:space="preserve"> permettant l’incorporation et la rétention d’eau sont interdits. </w:t>
      </w:r>
      <w:r w:rsidRPr="00B048E5">
        <w:rPr>
          <w:rFonts w:ascii="Verdana" w:eastAsia="Verdana" w:hAnsi="Verdana" w:cs="Verdana"/>
          <w:i/>
        </w:rPr>
        <w:t>Cet apport d'eau diminue l'ap</w:t>
      </w:r>
      <w:r w:rsidR="003F2330">
        <w:rPr>
          <w:rFonts w:ascii="Verdana" w:eastAsia="Verdana" w:hAnsi="Verdana" w:cs="Verdana"/>
          <w:i/>
        </w:rPr>
        <w:t>port nutritionnel de la portion</w:t>
      </w:r>
      <w:r w:rsidRPr="00B048E5">
        <w:rPr>
          <w:rFonts w:ascii="Verdana" w:eastAsia="Verdana" w:hAnsi="Verdana" w:cs="Verdana"/>
          <w:i/>
        </w:rPr>
        <w:t>].</w:t>
      </w:r>
    </w:p>
    <w:p w:rsidR="006E16E8" w:rsidRPr="00B048E5" w:rsidRDefault="006E16E8" w:rsidP="006E16E8">
      <w:pPr>
        <w:spacing w:line="276" w:lineRule="auto"/>
        <w:ind w:left="142"/>
        <w:rPr>
          <w:rFonts w:ascii="Verdana" w:eastAsia="Verdana" w:hAnsi="Verdana" w:cs="Verdana"/>
          <w:i/>
        </w:rPr>
      </w:pPr>
    </w:p>
    <w:p w:rsidR="006E16E8" w:rsidRPr="00B048E5" w:rsidRDefault="006E16E8" w:rsidP="006E16E8">
      <w:pPr>
        <w:ind w:left="142"/>
        <w:rPr>
          <w:rFonts w:ascii="Verdana" w:eastAsia="Verdana" w:hAnsi="Verdana" w:cs="Verdana"/>
        </w:rPr>
      </w:pPr>
      <w:r w:rsidRPr="00B048E5">
        <w:rPr>
          <w:rFonts w:ascii="Verdana" w:eastAsia="Verdana" w:hAnsi="Verdana" w:cs="Verdana"/>
        </w:rPr>
        <w:t>Dans le cas de proposition de produits d’élevage, le candidat précisera si un cahier des charges est prévu avec l’éleveur. L’alimentation des produits d’élevage sera stricte et conforme à la réglementation européenne, excluant l’utilisation d’hormone de croissance, d’huile de palme, d’OGM et de farine animale terrestre. L’utilisation d’antibiotiques à titre préventif doit aussi être limitée.</w:t>
      </w:r>
    </w:p>
    <w:p w:rsidR="006E16E8" w:rsidRPr="00B048E5" w:rsidRDefault="006E16E8" w:rsidP="006E16E8">
      <w:pPr>
        <w:ind w:left="142"/>
        <w:rPr>
          <w:rFonts w:ascii="Verdana" w:eastAsia="Verdana" w:hAnsi="Verdana" w:cs="Verdana"/>
        </w:rPr>
      </w:pPr>
    </w:p>
    <w:p w:rsidR="006E16E8" w:rsidRPr="00B048E5" w:rsidRDefault="006E16E8" w:rsidP="006E16E8">
      <w:pPr>
        <w:ind w:left="142"/>
        <w:rPr>
          <w:rFonts w:ascii="Verdana" w:eastAsia="Verdana" w:hAnsi="Verdana" w:cs="Verdana"/>
          <w:i/>
        </w:rPr>
      </w:pPr>
      <w:r w:rsidRPr="00B048E5">
        <w:rPr>
          <w:rFonts w:ascii="Verdana" w:eastAsia="Verdana" w:hAnsi="Verdana" w:cs="Verdana"/>
          <w:i/>
        </w:rPr>
        <w:t>L'acheteur devra spécifier le niveau de préparation attendu pour l’ensemble des poissons :</w:t>
      </w:r>
    </w:p>
    <w:p w:rsidR="006E16E8" w:rsidRPr="00B048E5" w:rsidRDefault="006E16E8" w:rsidP="006E16E8">
      <w:pPr>
        <w:numPr>
          <w:ilvl w:val="0"/>
          <w:numId w:val="5"/>
        </w:numPr>
        <w:ind w:left="1134" w:hanging="284"/>
        <w:rPr>
          <w:rFonts w:ascii="Verdana" w:eastAsia="Verdana" w:hAnsi="Verdana" w:cs="Verdana"/>
          <w:i/>
        </w:rPr>
      </w:pPr>
      <w:r w:rsidRPr="00B048E5">
        <w:rPr>
          <w:rFonts w:ascii="Verdana" w:eastAsia="Verdana" w:hAnsi="Verdana" w:cs="Verdana"/>
          <w:i/>
        </w:rPr>
        <w:t>Entier / Étêté / vidé</w:t>
      </w:r>
    </w:p>
    <w:p w:rsidR="006E16E8" w:rsidRPr="00B048E5" w:rsidRDefault="006E16E8" w:rsidP="006E16E8">
      <w:pPr>
        <w:numPr>
          <w:ilvl w:val="0"/>
          <w:numId w:val="5"/>
        </w:numPr>
        <w:ind w:left="1134" w:hanging="284"/>
        <w:rPr>
          <w:rFonts w:ascii="Verdana" w:eastAsia="Verdana" w:hAnsi="Verdana" w:cs="Verdana"/>
          <w:i/>
        </w:rPr>
      </w:pPr>
      <w:r w:rsidRPr="00B048E5">
        <w:rPr>
          <w:rFonts w:ascii="Verdana" w:eastAsia="Verdana" w:hAnsi="Verdana" w:cs="Verdana"/>
          <w:i/>
        </w:rPr>
        <w:t>Dos/ filet / Pavé / darnes</w:t>
      </w:r>
    </w:p>
    <w:p w:rsidR="006E16E8" w:rsidRPr="00B048E5" w:rsidRDefault="006E16E8" w:rsidP="006E16E8">
      <w:pPr>
        <w:numPr>
          <w:ilvl w:val="0"/>
          <w:numId w:val="5"/>
        </w:numPr>
        <w:ind w:left="1134" w:hanging="284"/>
        <w:rPr>
          <w:rFonts w:ascii="Verdana" w:eastAsia="Verdana" w:hAnsi="Verdana" w:cs="Verdana"/>
          <w:i/>
        </w:rPr>
      </w:pPr>
      <w:r w:rsidRPr="00B048E5">
        <w:rPr>
          <w:rFonts w:ascii="Verdana" w:eastAsia="Verdana" w:hAnsi="Verdana" w:cs="Verdana"/>
          <w:i/>
        </w:rPr>
        <w:t>Avec ou sans peau</w:t>
      </w:r>
    </w:p>
    <w:p w:rsidR="006E16E8" w:rsidRPr="00B048E5" w:rsidRDefault="006E16E8" w:rsidP="006E16E8">
      <w:pPr>
        <w:numPr>
          <w:ilvl w:val="0"/>
          <w:numId w:val="5"/>
        </w:numPr>
        <w:ind w:left="1134" w:hanging="284"/>
        <w:rPr>
          <w:rFonts w:ascii="Verdana" w:eastAsia="Verdana" w:hAnsi="Verdana" w:cs="Verdana"/>
          <w:i/>
        </w:rPr>
      </w:pPr>
      <w:r w:rsidRPr="00B048E5">
        <w:rPr>
          <w:rFonts w:ascii="Verdana" w:eastAsia="Verdana" w:hAnsi="Verdana" w:cs="Verdana"/>
          <w:i/>
        </w:rPr>
        <w:t>Avec / pauvre en arêtes / sans arêtes (pour la gamme surgelée)</w:t>
      </w:r>
    </w:p>
    <w:p w:rsidR="006E16E8" w:rsidRPr="00B048E5" w:rsidRDefault="006E16E8" w:rsidP="006E16E8">
      <w:pPr>
        <w:numPr>
          <w:ilvl w:val="0"/>
          <w:numId w:val="5"/>
        </w:numPr>
        <w:ind w:left="1134" w:hanging="284"/>
        <w:rPr>
          <w:rFonts w:ascii="Verdana" w:eastAsia="Verdana" w:hAnsi="Verdana" w:cs="Verdana"/>
          <w:i/>
        </w:rPr>
      </w:pPr>
      <w:r w:rsidRPr="00B048E5">
        <w:rPr>
          <w:rFonts w:ascii="Verdana" w:eastAsia="Verdana" w:hAnsi="Verdana" w:cs="Verdana"/>
          <w:i/>
        </w:rPr>
        <w:t>…</w:t>
      </w:r>
    </w:p>
    <w:p w:rsidR="005F7DCD" w:rsidRDefault="005F7DCD">
      <w:pPr>
        <w:jc w:val="both"/>
        <w:rPr>
          <w:rFonts w:ascii="Verdana" w:eastAsia="Verdana" w:hAnsi="Verdana" w:cs="Verdana"/>
        </w:rPr>
      </w:pPr>
    </w:p>
    <w:p w:rsidR="006E16E8" w:rsidRDefault="006E16E8">
      <w:pPr>
        <w:jc w:val="both"/>
        <w:rPr>
          <w:rFonts w:ascii="Verdana" w:eastAsia="Verdana" w:hAnsi="Verdana" w:cs="Verdana"/>
        </w:rPr>
      </w:pPr>
    </w:p>
    <w:p w:rsidR="006E16E8" w:rsidRPr="003F2330" w:rsidRDefault="006E16E8" w:rsidP="006E16E8">
      <w:pPr>
        <w:jc w:val="both"/>
        <w:rPr>
          <w:rFonts w:ascii="Verdana" w:eastAsia="Verdana" w:hAnsi="Verdana" w:cs="Verdana"/>
          <w:b/>
        </w:rPr>
      </w:pPr>
      <w:r w:rsidRPr="003F2330">
        <w:rPr>
          <w:rFonts w:ascii="Verdana" w:eastAsia="Verdana" w:hAnsi="Verdana" w:cs="Verdana"/>
          <w:b/>
        </w:rPr>
        <w:t>Pour le lot 1 « Poissons et coquillages frais »</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Compte-tenu des particularités de la pêche fraîche (saisonnalité, intempéries…) qui entraînent une variabilité de la disponibilité et une fluctuation importante des cours, les produits frais de la pêche seront proposés par l’entreprise au gestionnaire, de manière hebdomadaire, en fonction des disponibilités.</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Le fournisseur proposera prioritairement des espèces de la liste ci-après, mais pourra aussi proposer des espèces équivalentes, pour assurer l’approvisionnement requis. Les produits proposés devront être de Qualité Extra ou A.</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Sur la durée du marché, le fournisseur s’engage à livrer une quantité minimale parmi cette liste d’espèces :</w:t>
      </w:r>
    </w:p>
    <w:p w:rsidR="006E16E8" w:rsidRPr="006E16E8" w:rsidRDefault="006E16E8" w:rsidP="006E16E8">
      <w:pPr>
        <w:jc w:val="both"/>
        <w:rPr>
          <w:rFonts w:ascii="Verdana" w:eastAsia="Verdana" w:hAnsi="Verdana" w:cs="Verdana"/>
        </w:rPr>
      </w:pPr>
      <w:r w:rsidRPr="006E16E8">
        <w:rPr>
          <w:rFonts w:ascii="Cambria Math" w:eastAsia="Verdana" w:hAnsi="Cambria Math" w:cs="Cambria Math"/>
        </w:rPr>
        <w:t>◻</w:t>
      </w:r>
      <w:r w:rsidRPr="006E16E8">
        <w:rPr>
          <w:rFonts w:ascii="Verdana" w:eastAsia="Verdana" w:hAnsi="Verdana" w:cs="Verdana"/>
        </w:rPr>
        <w:t xml:space="preserve"> 40%</w:t>
      </w:r>
    </w:p>
    <w:p w:rsidR="006E16E8" w:rsidRPr="006E16E8" w:rsidRDefault="006E16E8" w:rsidP="006E16E8">
      <w:pPr>
        <w:jc w:val="both"/>
        <w:rPr>
          <w:rFonts w:ascii="Verdana" w:eastAsia="Verdana" w:hAnsi="Verdana" w:cs="Verdana"/>
        </w:rPr>
      </w:pPr>
      <w:r w:rsidRPr="006E16E8">
        <w:rPr>
          <w:rFonts w:ascii="Cambria Math" w:eastAsia="Verdana" w:hAnsi="Cambria Math" w:cs="Cambria Math"/>
        </w:rPr>
        <w:t>◻</w:t>
      </w:r>
      <w:r w:rsidRPr="006E16E8">
        <w:rPr>
          <w:rFonts w:ascii="Verdana" w:eastAsia="Verdana" w:hAnsi="Verdana" w:cs="Verdana"/>
        </w:rPr>
        <w:t xml:space="preserve"> 60%</w:t>
      </w:r>
    </w:p>
    <w:p w:rsidR="006E16E8" w:rsidRPr="006E16E8" w:rsidRDefault="006E16E8" w:rsidP="006E16E8">
      <w:pPr>
        <w:jc w:val="both"/>
        <w:rPr>
          <w:rFonts w:ascii="Verdana" w:eastAsia="Verdana" w:hAnsi="Verdana" w:cs="Verdana"/>
        </w:rPr>
      </w:pPr>
      <w:r w:rsidRPr="006E16E8">
        <w:rPr>
          <w:rFonts w:ascii="Cambria Math" w:eastAsia="Verdana" w:hAnsi="Cambria Math" w:cs="Cambria Math"/>
        </w:rPr>
        <w:t>◻</w:t>
      </w:r>
      <w:r w:rsidRPr="006E16E8">
        <w:rPr>
          <w:rFonts w:ascii="Verdana" w:eastAsia="Verdana" w:hAnsi="Verdana" w:cs="Verdana"/>
        </w:rPr>
        <w:t xml:space="preserve"> 80 %</w:t>
      </w:r>
    </w:p>
    <w:p w:rsidR="006E16E8" w:rsidRPr="006E16E8" w:rsidRDefault="006E16E8" w:rsidP="006E16E8">
      <w:pPr>
        <w:jc w:val="both"/>
        <w:rPr>
          <w:rFonts w:ascii="Verdana" w:eastAsia="Verdana" w:hAnsi="Verdana" w:cs="Verdana"/>
        </w:rPr>
      </w:pPr>
      <w:r w:rsidRPr="006E16E8">
        <w:rPr>
          <w:rFonts w:ascii="Cambria Math" w:eastAsia="Verdana" w:hAnsi="Cambria Math" w:cs="Cambria Math"/>
        </w:rPr>
        <w:t>◻</w:t>
      </w:r>
      <w:r w:rsidRPr="006E16E8">
        <w:rPr>
          <w:rFonts w:ascii="Verdana" w:eastAsia="Verdana" w:hAnsi="Verdana" w:cs="Verdana"/>
        </w:rPr>
        <w:t xml:space="preserve"> Autre à définir : …. %</w:t>
      </w:r>
    </w:p>
    <w:p w:rsidR="006E16E8" w:rsidRPr="006E16E8" w:rsidRDefault="006E16E8" w:rsidP="006E16E8">
      <w:pPr>
        <w:jc w:val="both"/>
        <w:rPr>
          <w:rFonts w:ascii="Verdana" w:eastAsia="Verdana" w:hAnsi="Verdana" w:cs="Verdana"/>
        </w:rPr>
      </w:pPr>
    </w:p>
    <w:tbl>
      <w:tblPr>
        <w:tblW w:w="4666" w:type="pct"/>
        <w:tblLook w:val="0400" w:firstRow="0" w:lastRow="0" w:firstColumn="0" w:lastColumn="0" w:noHBand="0" w:noVBand="1"/>
      </w:tblPr>
      <w:tblGrid>
        <w:gridCol w:w="1214"/>
        <w:gridCol w:w="1873"/>
        <w:gridCol w:w="1711"/>
        <w:gridCol w:w="1477"/>
        <w:gridCol w:w="1569"/>
        <w:gridCol w:w="1352"/>
      </w:tblGrid>
      <w:tr w:rsidR="006E16E8" w:rsidRPr="006E16E8" w:rsidTr="006E16E8">
        <w:trPr>
          <w:trHeight w:val="18"/>
        </w:trPr>
        <w:tc>
          <w:tcPr>
            <w:tcW w:w="660" w:type="pct"/>
            <w:tcBorders>
              <w:bottom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color w:val="000000"/>
                <w:sz w:val="18"/>
                <w:szCs w:val="18"/>
                <w:lang w:bidi="fr-FR"/>
              </w:rPr>
            </w:pPr>
          </w:p>
        </w:tc>
        <w:tc>
          <w:tcPr>
            <w:tcW w:w="10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Dénominations de vente</w:t>
            </w:r>
          </w:p>
        </w:tc>
        <w:tc>
          <w:tcPr>
            <w:tcW w:w="930" w:type="pct"/>
            <w:tcBorders>
              <w:top w:val="single" w:sz="4" w:space="0" w:color="000000"/>
              <w:left w:val="single" w:sz="4" w:space="0" w:color="000000"/>
              <w:bottom w:val="single" w:sz="4" w:space="0" w:color="000000"/>
              <w:right w:val="single" w:sz="4" w:space="0" w:color="auto"/>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Noms scientifiques</w:t>
            </w:r>
          </w:p>
        </w:tc>
        <w:tc>
          <w:tcPr>
            <w:tcW w:w="803" w:type="pct"/>
            <w:tcBorders>
              <w:left w:val="single" w:sz="4" w:space="0" w:color="auto"/>
              <w:bottom w:val="single" w:sz="4" w:space="0" w:color="auto"/>
              <w:right w:val="single" w:sz="4" w:space="0" w:color="auto"/>
            </w:tcBorders>
          </w:tcPr>
          <w:p w:rsidR="006E16E8" w:rsidRPr="006E16E8" w:rsidRDefault="006E16E8" w:rsidP="006E16E8">
            <w:pPr>
              <w:widowControl w:val="0"/>
              <w:contextualSpacing/>
              <w:rPr>
                <w:rFonts w:ascii="Verdana" w:eastAsia="Calibri" w:hAnsi="Verdana" w:cs="Calibri"/>
                <w:color w:val="000000"/>
                <w:sz w:val="18"/>
                <w:szCs w:val="18"/>
                <w:lang w:bidi="fr-FR"/>
              </w:rPr>
            </w:pPr>
          </w:p>
        </w:tc>
        <w:tc>
          <w:tcPr>
            <w:tcW w:w="853" w:type="pct"/>
            <w:tcBorders>
              <w:top w:val="single" w:sz="4" w:space="0" w:color="000000"/>
              <w:left w:val="single" w:sz="4" w:space="0" w:color="auto"/>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Dénominations de vente</w:t>
            </w:r>
          </w:p>
        </w:tc>
        <w:tc>
          <w:tcPr>
            <w:tcW w:w="735" w:type="pct"/>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Noms scientifiques</w:t>
            </w:r>
          </w:p>
        </w:tc>
      </w:tr>
      <w:tr w:rsidR="006E16E8" w:rsidRPr="006E16E8" w:rsidTr="006E16E8">
        <w:trPr>
          <w:trHeight w:val="20"/>
        </w:trPr>
        <w:tc>
          <w:tcPr>
            <w:tcW w:w="660" w:type="pct"/>
            <w:vMerge w:val="restart"/>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ind w:left="113" w:right="113"/>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Poissons</w:t>
            </w: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Congre</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Conger</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conger</w:t>
            </w:r>
            <w:proofErr w:type="spellEnd"/>
          </w:p>
        </w:tc>
        <w:tc>
          <w:tcPr>
            <w:tcW w:w="803" w:type="pct"/>
            <w:vMerge w:val="restart"/>
            <w:tcBorders>
              <w:top w:val="single" w:sz="4" w:space="0" w:color="auto"/>
              <w:left w:val="nil"/>
              <w:right w:val="single" w:sz="4" w:space="0" w:color="000000"/>
            </w:tcBorders>
            <w:vAlign w:val="center"/>
          </w:tcPr>
          <w:p w:rsidR="006E16E8" w:rsidRPr="006E16E8" w:rsidRDefault="006E16E8" w:rsidP="006E16E8">
            <w:pPr>
              <w:widowControl w:val="0"/>
              <w:contextualSpacing/>
              <w:jc w:val="center"/>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Coquillages, Céphalopodes et Crustacés</w:t>
            </w: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Amande</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Glycymeris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glycymeris</w:t>
            </w:r>
            <w:proofErr w:type="spellEnd"/>
          </w:p>
        </w:tc>
      </w:tr>
      <w:tr w:rsidR="006E16E8" w:rsidRPr="006E16E8" w:rsidTr="006E16E8">
        <w:trPr>
          <w:trHeight w:val="20"/>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Grondin rouge</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Aspitriglia</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cuculus</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Bulot</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Buccinum</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undatum</w:t>
            </w:r>
            <w:proofErr w:type="spellEnd"/>
          </w:p>
        </w:tc>
      </w:tr>
      <w:tr w:rsidR="006E16E8" w:rsidRPr="006E16E8" w:rsidTr="006E16E8">
        <w:trPr>
          <w:trHeight w:val="20"/>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Hareng</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Clupea</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harengus</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Moule</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Mytilus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edulis</w:t>
            </w:r>
            <w:proofErr w:type="spellEnd"/>
          </w:p>
        </w:tc>
      </w:tr>
      <w:tr w:rsidR="006E16E8" w:rsidRPr="006E16E8" w:rsidTr="006E16E8">
        <w:trPr>
          <w:trHeight w:val="140"/>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Limande franche</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Limanda</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limanda</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Pétoncle</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Aequipecten</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opercularis</w:t>
            </w:r>
            <w:proofErr w:type="spellEnd"/>
          </w:p>
        </w:tc>
      </w:tr>
      <w:tr w:rsidR="006E16E8" w:rsidRPr="006E16E8" w:rsidTr="006E16E8">
        <w:trPr>
          <w:trHeight w:val="159"/>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Maquereau</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Scomber</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scombrus</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Araignée</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i/>
                <w:color w:val="000000"/>
                <w:sz w:val="18"/>
                <w:szCs w:val="18"/>
                <w:lang w:bidi="fr-FR"/>
              </w:rPr>
              <w:t xml:space="preserve">Maja </w:t>
            </w:r>
            <w:proofErr w:type="spellStart"/>
            <w:r w:rsidRPr="006E16E8">
              <w:rPr>
                <w:rFonts w:ascii="Verdana" w:eastAsia="Calibri" w:hAnsi="Verdana" w:cs="Calibri"/>
                <w:i/>
                <w:color w:val="000000"/>
                <w:sz w:val="18"/>
                <w:szCs w:val="18"/>
                <w:lang w:bidi="fr-FR"/>
              </w:rPr>
              <w:t>squinado</w:t>
            </w:r>
            <w:proofErr w:type="spellEnd"/>
          </w:p>
        </w:tc>
      </w:tr>
      <w:tr w:rsidR="006E16E8" w:rsidRPr="006E16E8" w:rsidTr="006E16E8">
        <w:trPr>
          <w:trHeight w:val="70"/>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Mulet</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Mugil</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spp</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Etrille</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Necora</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puber</w:t>
            </w:r>
            <w:proofErr w:type="spellEnd"/>
          </w:p>
        </w:tc>
      </w:tr>
      <w:tr w:rsidR="006E16E8" w:rsidRPr="006E16E8" w:rsidTr="006E16E8">
        <w:trPr>
          <w:trHeight w:val="167"/>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Raies</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i/>
                <w:color w:val="000000"/>
                <w:sz w:val="18"/>
                <w:szCs w:val="18"/>
                <w:lang w:bidi="fr-FR"/>
              </w:rPr>
              <w:t xml:space="preserve">Raja </w:t>
            </w:r>
            <w:proofErr w:type="spellStart"/>
            <w:r w:rsidRPr="006E16E8">
              <w:rPr>
                <w:rFonts w:ascii="Verdana" w:eastAsia="Calibri" w:hAnsi="Verdana" w:cs="Calibri"/>
                <w:i/>
                <w:color w:val="000000"/>
                <w:sz w:val="18"/>
                <w:szCs w:val="18"/>
                <w:lang w:bidi="fr-FR"/>
              </w:rPr>
              <w:t>spp</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Seiche</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Sepia</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officinalis</w:t>
            </w:r>
            <w:proofErr w:type="spellEnd"/>
          </w:p>
        </w:tc>
      </w:tr>
      <w:tr w:rsidR="006E16E8" w:rsidRPr="006E16E8" w:rsidTr="006E16E8">
        <w:trPr>
          <w:trHeight w:val="70"/>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Roussette</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Scyliorhynus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spp</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Tourteau</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i/>
                <w:color w:val="000000"/>
                <w:sz w:val="18"/>
                <w:szCs w:val="18"/>
                <w:lang w:bidi="fr-FR"/>
              </w:rPr>
              <w:t xml:space="preserve">Cancer </w:t>
            </w:r>
            <w:proofErr w:type="spellStart"/>
            <w:r w:rsidRPr="006E16E8">
              <w:rPr>
                <w:rFonts w:ascii="Verdana" w:eastAsia="Calibri" w:hAnsi="Verdana" w:cs="Calibri"/>
                <w:i/>
                <w:color w:val="000000"/>
                <w:sz w:val="18"/>
                <w:szCs w:val="18"/>
                <w:lang w:bidi="fr-FR"/>
              </w:rPr>
              <w:t>pagurus</w:t>
            </w:r>
            <w:proofErr w:type="spellEnd"/>
          </w:p>
        </w:tc>
      </w:tr>
      <w:tr w:rsidR="006E16E8" w:rsidRPr="006E16E8" w:rsidTr="006E16E8">
        <w:trPr>
          <w:trHeight w:val="70"/>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Tacaud</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Trisopterus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luscus</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Calamar</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Loligo</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vulgaris</w:t>
            </w:r>
            <w:proofErr w:type="spellEnd"/>
          </w:p>
        </w:tc>
      </w:tr>
      <w:tr w:rsidR="006E16E8" w:rsidRPr="006E16E8" w:rsidTr="006E16E8">
        <w:trPr>
          <w:trHeight w:val="90"/>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Dorade grise</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Spondyliosoma</w:t>
            </w:r>
            <w:proofErr w:type="spellEnd"/>
            <w:r w:rsidRPr="006E16E8">
              <w:rPr>
                <w:rFonts w:ascii="Verdana" w:eastAsia="Calibri" w:hAnsi="Verdana" w:cs="Calibri"/>
                <w:i/>
                <w:color w:val="000000"/>
                <w:sz w:val="18"/>
                <w:szCs w:val="18"/>
                <w:lang w:bidi="fr-FR"/>
              </w:rPr>
              <w:t xml:space="preserve"> cantharus</w:t>
            </w:r>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Coquille St-Jacques</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i/>
                <w:color w:val="000000"/>
                <w:sz w:val="18"/>
                <w:szCs w:val="18"/>
                <w:lang w:bidi="fr-FR"/>
              </w:rPr>
              <w:t xml:space="preserve">Pecten </w:t>
            </w:r>
            <w:proofErr w:type="spellStart"/>
            <w:r w:rsidRPr="006E16E8">
              <w:rPr>
                <w:rFonts w:ascii="Verdana" w:eastAsia="Calibri" w:hAnsi="Verdana" w:cs="Calibri"/>
                <w:i/>
                <w:color w:val="000000"/>
                <w:sz w:val="18"/>
                <w:szCs w:val="18"/>
                <w:lang w:bidi="fr-FR"/>
              </w:rPr>
              <w:t>maximus</w:t>
            </w:r>
            <w:proofErr w:type="spellEnd"/>
          </w:p>
        </w:tc>
      </w:tr>
      <w:tr w:rsidR="006E16E8" w:rsidRPr="006E16E8" w:rsidTr="006E16E8">
        <w:trPr>
          <w:trHeight w:val="122"/>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Eglefin</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Melanogrammus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aeglefinus</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Homard</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Homarus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gammarus</w:t>
            </w:r>
            <w:proofErr w:type="spellEnd"/>
          </w:p>
        </w:tc>
      </w:tr>
      <w:tr w:rsidR="006E16E8" w:rsidRPr="006E16E8" w:rsidTr="006E16E8">
        <w:trPr>
          <w:trHeight w:val="155"/>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Julienne ou Lingue</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Molva</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molva</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color w:val="000000"/>
                <w:sz w:val="18"/>
                <w:szCs w:val="18"/>
                <w:lang w:bidi="fr-FR"/>
              </w:rPr>
              <w:t>Praire</w:t>
            </w:r>
          </w:p>
        </w:tc>
        <w:tc>
          <w:tcPr>
            <w:tcW w:w="735"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i/>
                <w:color w:val="000000"/>
                <w:sz w:val="18"/>
                <w:szCs w:val="18"/>
                <w:lang w:bidi="fr-FR"/>
              </w:rPr>
              <w:t xml:space="preserve">Venus </w:t>
            </w:r>
            <w:proofErr w:type="spellStart"/>
            <w:r w:rsidRPr="006E16E8">
              <w:rPr>
                <w:rFonts w:ascii="Verdana" w:eastAsia="Calibri" w:hAnsi="Verdana" w:cs="Calibri"/>
                <w:i/>
                <w:color w:val="000000"/>
                <w:sz w:val="18"/>
                <w:szCs w:val="18"/>
                <w:lang w:bidi="fr-FR"/>
              </w:rPr>
              <w:t>verrucosa</w:t>
            </w:r>
            <w:proofErr w:type="spellEnd"/>
          </w:p>
        </w:tc>
      </w:tr>
      <w:tr w:rsidR="006E16E8" w:rsidRPr="006E16E8" w:rsidTr="006E16E8">
        <w:trPr>
          <w:trHeight w:val="172"/>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Lieu Jaune</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Pollachius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pollachius</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735" w:type="pct"/>
            <w:tcBorders>
              <w:top w:val="nil"/>
              <w:left w:val="nil"/>
              <w:bottom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r>
      <w:tr w:rsidR="006E16E8" w:rsidRPr="006E16E8" w:rsidTr="006E16E8">
        <w:trPr>
          <w:trHeight w:val="219"/>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Merlan</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Merlangius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merlangus</w:t>
            </w:r>
            <w:proofErr w:type="spellEnd"/>
          </w:p>
        </w:tc>
        <w:tc>
          <w:tcPr>
            <w:tcW w:w="803" w:type="pct"/>
            <w:vMerge/>
            <w:tcBorders>
              <w:left w:val="nil"/>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735" w:type="pct"/>
            <w:tcBorders>
              <w:top w:val="nil"/>
              <w:left w:val="nil"/>
              <w:bottom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r>
      <w:tr w:rsidR="006E16E8" w:rsidRPr="006E16E8" w:rsidTr="006E16E8">
        <w:trPr>
          <w:trHeight w:val="20"/>
        </w:trPr>
        <w:tc>
          <w:tcPr>
            <w:tcW w:w="660" w:type="pct"/>
            <w:vMerge/>
            <w:tcBorders>
              <w:top w:val="single" w:sz="4" w:space="0" w:color="000000"/>
              <w:left w:val="single" w:sz="4" w:space="0" w:color="000000"/>
              <w:bottom w:val="single" w:sz="4" w:space="0" w:color="000000"/>
              <w:right w:val="single" w:sz="4" w:space="0" w:color="000000"/>
            </w:tcBorders>
            <w:vAlign w:val="center"/>
          </w:tcPr>
          <w:p w:rsidR="006E16E8" w:rsidRPr="006E16E8" w:rsidRDefault="006E16E8" w:rsidP="006E16E8">
            <w:pPr>
              <w:widowControl w:val="0"/>
              <w:pBdr>
                <w:top w:val="nil"/>
                <w:left w:val="nil"/>
                <w:bottom w:val="nil"/>
                <w:right w:val="nil"/>
                <w:between w:val="nil"/>
              </w:pBdr>
              <w:contextualSpacing/>
              <w:rPr>
                <w:rFonts w:ascii="Verdana" w:eastAsia="Calibri" w:hAnsi="Verdana" w:cs="Calibri"/>
                <w:i/>
                <w:color w:val="000000"/>
                <w:sz w:val="18"/>
                <w:szCs w:val="18"/>
                <w:lang w:bidi="fr-FR"/>
              </w:rPr>
            </w:pPr>
          </w:p>
        </w:tc>
        <w:tc>
          <w:tcPr>
            <w:tcW w:w="1019" w:type="pct"/>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Plie ou Carrelet</w:t>
            </w:r>
          </w:p>
        </w:tc>
        <w:tc>
          <w:tcPr>
            <w:tcW w:w="930" w:type="pct"/>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r w:rsidRPr="006E16E8">
              <w:rPr>
                <w:rFonts w:ascii="Verdana" w:eastAsia="Calibri" w:hAnsi="Verdana" w:cs="Calibri"/>
                <w:i/>
                <w:color w:val="000000"/>
                <w:sz w:val="18"/>
                <w:szCs w:val="18"/>
                <w:lang w:bidi="fr-FR"/>
              </w:rPr>
              <w:t xml:space="preserve">Pleuronectes </w:t>
            </w:r>
            <w:proofErr w:type="spellStart"/>
            <w:r w:rsidRPr="006E16E8">
              <w:rPr>
                <w:rFonts w:ascii="Verdana" w:eastAsia="Calibri" w:hAnsi="Verdana" w:cs="Calibri"/>
                <w:i/>
                <w:color w:val="000000"/>
                <w:sz w:val="18"/>
                <w:szCs w:val="18"/>
                <w:lang w:bidi="fr-FR"/>
              </w:rPr>
              <w:t>platessa</w:t>
            </w:r>
            <w:proofErr w:type="spellEnd"/>
          </w:p>
        </w:tc>
        <w:tc>
          <w:tcPr>
            <w:tcW w:w="803" w:type="pct"/>
            <w:vMerge/>
            <w:tcBorders>
              <w:left w:val="nil"/>
              <w:bottom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853" w:type="pct"/>
            <w:tcBorders>
              <w:top w:val="nil"/>
              <w:left w:val="nil"/>
              <w:bottom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
        </w:tc>
        <w:tc>
          <w:tcPr>
            <w:tcW w:w="735" w:type="pct"/>
            <w:tcBorders>
              <w:top w:val="nil"/>
              <w:left w:val="nil"/>
              <w:bottom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i/>
                <w:color w:val="000000"/>
                <w:sz w:val="18"/>
                <w:szCs w:val="18"/>
                <w:lang w:bidi="fr-FR"/>
              </w:rPr>
            </w:pPr>
          </w:p>
        </w:tc>
      </w:tr>
    </w:tbl>
    <w:p w:rsidR="006E16E8" w:rsidRPr="00B048E5" w:rsidRDefault="006E16E8" w:rsidP="006E16E8">
      <w:pPr>
        <w:ind w:left="1133"/>
        <w:rPr>
          <w:rFonts w:ascii="Calibri" w:eastAsia="Calibri" w:hAnsi="Calibri" w:cs="Calibri"/>
          <w:i/>
        </w:rPr>
      </w:pPr>
      <w:r w:rsidRPr="00B048E5">
        <w:rPr>
          <w:rFonts w:ascii="Calibri" w:eastAsia="Calibri" w:hAnsi="Calibri" w:cs="Calibri"/>
          <w:i/>
        </w:rPr>
        <w:t xml:space="preserve">L’accessibilité aux différentes espèces et au tarif fixés au BPU dépendra de leur disponibilité (saisonnalité, météo) et du niveau d’élaboration attendu (entier, vidé, étêté, tronçon, pavé, darne, dos, filet avec ou sans peau, sans arêtes,… et </w:t>
      </w:r>
      <w:proofErr w:type="spellStart"/>
      <w:r w:rsidRPr="00B048E5">
        <w:rPr>
          <w:rFonts w:ascii="Calibri" w:eastAsia="Calibri" w:hAnsi="Calibri" w:cs="Calibri"/>
          <w:i/>
        </w:rPr>
        <w:t>portionnage</w:t>
      </w:r>
      <w:proofErr w:type="spellEnd"/>
      <w:r w:rsidRPr="00B048E5">
        <w:rPr>
          <w:rFonts w:ascii="Calibri" w:eastAsia="Calibri" w:hAnsi="Calibri" w:cs="Calibri"/>
          <w:i/>
        </w:rPr>
        <w:t>).</w:t>
      </w:r>
    </w:p>
    <w:p w:rsidR="006E16E8" w:rsidRPr="00B048E5" w:rsidRDefault="006E16E8" w:rsidP="006E16E8">
      <w:pPr>
        <w:rPr>
          <w:rFonts w:ascii="Verdana" w:eastAsia="Verdana" w:hAnsi="Verdana" w:cs="Verdana"/>
        </w:rPr>
      </w:pPr>
      <w:r w:rsidRPr="00B048E5">
        <w:rPr>
          <w:rFonts w:ascii="Verdana" w:eastAsia="Verdana" w:hAnsi="Verdana" w:cs="Verdana"/>
        </w:rPr>
        <w:lastRenderedPageBreak/>
        <w:t xml:space="preserve">Dans le cas de proposition de produits d’élevage, le candidat </w:t>
      </w:r>
      <w:r w:rsidRPr="00B048E5">
        <w:rPr>
          <w:rFonts w:ascii="Verdana" w:eastAsia="Verdana" w:hAnsi="Verdana" w:cstheme="majorHAnsi"/>
        </w:rPr>
        <w:t>privilégiera les espèces listées ci-après</w:t>
      </w:r>
      <w:r w:rsidRPr="00B048E5">
        <w:rPr>
          <w:rFonts w:ascii="Verdana" w:eastAsia="Verdana" w:hAnsi="Verdana" w:cs="Verdana"/>
        </w:rPr>
        <w:t>.</w:t>
      </w:r>
    </w:p>
    <w:p w:rsidR="006E16E8" w:rsidRDefault="006E16E8" w:rsidP="006E16E8">
      <w:pPr>
        <w:jc w:val="both"/>
        <w:rPr>
          <w:rFonts w:ascii="Verdana" w:eastAsia="Verdana" w:hAnsi="Verdana" w:cs="Verdana"/>
        </w:rPr>
      </w:pPr>
    </w:p>
    <w:tbl>
      <w:tblPr>
        <w:tblW w:w="8959" w:type="dxa"/>
        <w:tblInd w:w="392" w:type="dxa"/>
        <w:tblLayout w:type="fixed"/>
        <w:tblLook w:val="0400" w:firstRow="0" w:lastRow="0" w:firstColumn="0" w:lastColumn="0" w:noHBand="0" w:noVBand="1"/>
      </w:tblPr>
      <w:tblGrid>
        <w:gridCol w:w="1984"/>
        <w:gridCol w:w="2835"/>
        <w:gridCol w:w="4140"/>
      </w:tblGrid>
      <w:tr w:rsidR="006E16E8" w:rsidRPr="006E16E8" w:rsidTr="006E16E8">
        <w:trPr>
          <w:trHeight w:val="548"/>
        </w:trPr>
        <w:tc>
          <w:tcPr>
            <w:tcW w:w="1984" w:type="dxa"/>
            <w:vMerge w:val="restart"/>
            <w:tcBorders>
              <w:top w:val="single" w:sz="4" w:space="0" w:color="000000"/>
              <w:left w:val="single" w:sz="4" w:space="0" w:color="000000"/>
              <w:right w:val="single" w:sz="4" w:space="0" w:color="000000"/>
            </w:tcBorders>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Produits d’élevage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Dénominations de vente</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Noms scientifiques</w:t>
            </w:r>
          </w:p>
        </w:tc>
      </w:tr>
      <w:tr w:rsidR="006E16E8" w:rsidRPr="006E16E8" w:rsidTr="006E16E8">
        <w:trPr>
          <w:trHeight w:val="70"/>
        </w:trPr>
        <w:tc>
          <w:tcPr>
            <w:tcW w:w="1984" w:type="dxa"/>
            <w:vMerge/>
            <w:tcBorders>
              <w:left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color w:val="000000"/>
                <w:sz w:val="18"/>
                <w:szCs w:val="18"/>
                <w:lang w:bidi="fr-FR"/>
              </w:rPr>
            </w:pPr>
          </w:p>
        </w:tc>
        <w:tc>
          <w:tcPr>
            <w:tcW w:w="2835" w:type="dxa"/>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 xml:space="preserve">Truite </w:t>
            </w:r>
            <w:proofErr w:type="spellStart"/>
            <w:r w:rsidRPr="006E16E8">
              <w:rPr>
                <w:rFonts w:ascii="Verdana" w:eastAsia="Calibri" w:hAnsi="Verdana" w:cs="Calibri"/>
                <w:color w:val="000000"/>
                <w:sz w:val="18"/>
                <w:szCs w:val="18"/>
                <w:lang w:bidi="fr-FR"/>
              </w:rPr>
              <w:t>fario</w:t>
            </w:r>
            <w:proofErr w:type="spellEnd"/>
          </w:p>
        </w:tc>
        <w:tc>
          <w:tcPr>
            <w:tcW w:w="4140" w:type="dxa"/>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Salmo</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trutta</w:t>
            </w:r>
            <w:proofErr w:type="spellEnd"/>
          </w:p>
        </w:tc>
      </w:tr>
      <w:tr w:rsidR="006E16E8" w:rsidRPr="006E16E8" w:rsidTr="006E16E8">
        <w:trPr>
          <w:trHeight w:val="70"/>
        </w:trPr>
        <w:tc>
          <w:tcPr>
            <w:tcW w:w="1984" w:type="dxa"/>
            <w:vMerge/>
            <w:tcBorders>
              <w:left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color w:val="000000"/>
                <w:sz w:val="18"/>
                <w:szCs w:val="18"/>
                <w:lang w:bidi="fr-FR"/>
              </w:rPr>
            </w:pPr>
          </w:p>
        </w:tc>
        <w:tc>
          <w:tcPr>
            <w:tcW w:w="2835" w:type="dxa"/>
            <w:tcBorders>
              <w:top w:val="nil"/>
              <w:left w:val="single" w:sz="4" w:space="0" w:color="000000"/>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Truite arc-en-ciel</w:t>
            </w:r>
          </w:p>
        </w:tc>
        <w:tc>
          <w:tcPr>
            <w:tcW w:w="4140" w:type="dxa"/>
            <w:tcBorders>
              <w:top w:val="nil"/>
              <w:left w:val="nil"/>
              <w:bottom w:val="single" w:sz="4" w:space="0" w:color="000000"/>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Onchorhynchus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mykiss</w:t>
            </w:r>
            <w:proofErr w:type="spellEnd"/>
          </w:p>
        </w:tc>
      </w:tr>
      <w:tr w:rsidR="006E16E8" w:rsidRPr="006E16E8" w:rsidTr="006E16E8">
        <w:trPr>
          <w:trHeight w:val="70"/>
        </w:trPr>
        <w:tc>
          <w:tcPr>
            <w:tcW w:w="1984" w:type="dxa"/>
            <w:vMerge/>
            <w:tcBorders>
              <w:left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color w:val="000000"/>
                <w:sz w:val="18"/>
                <w:szCs w:val="18"/>
                <w:lang w:bidi="fr-FR"/>
              </w:rPr>
            </w:pPr>
          </w:p>
        </w:tc>
        <w:tc>
          <w:tcPr>
            <w:tcW w:w="2835" w:type="dxa"/>
            <w:tcBorders>
              <w:top w:val="nil"/>
              <w:left w:val="single" w:sz="4" w:space="0" w:color="000000"/>
              <w:bottom w:val="single" w:sz="4" w:space="0" w:color="auto"/>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Saumon atlantique</w:t>
            </w:r>
          </w:p>
        </w:tc>
        <w:tc>
          <w:tcPr>
            <w:tcW w:w="4140" w:type="dxa"/>
            <w:tcBorders>
              <w:top w:val="nil"/>
              <w:left w:val="nil"/>
              <w:bottom w:val="single" w:sz="4" w:space="0" w:color="auto"/>
              <w:right w:val="single" w:sz="4" w:space="0" w:color="000000"/>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Salmo</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salar</w:t>
            </w:r>
            <w:proofErr w:type="spellEnd"/>
          </w:p>
        </w:tc>
      </w:tr>
      <w:tr w:rsidR="006E16E8" w:rsidRPr="006E16E8" w:rsidTr="006E16E8">
        <w:trPr>
          <w:trHeight w:val="70"/>
        </w:trPr>
        <w:tc>
          <w:tcPr>
            <w:tcW w:w="1984" w:type="dxa"/>
            <w:vMerge/>
            <w:tcBorders>
              <w:left w:val="single" w:sz="4" w:space="0" w:color="000000"/>
              <w:right w:val="single" w:sz="4" w:space="0" w:color="000000"/>
            </w:tcBorders>
          </w:tcPr>
          <w:p w:rsidR="006E16E8" w:rsidRPr="006E16E8" w:rsidRDefault="006E16E8" w:rsidP="006E16E8">
            <w:pPr>
              <w:widowControl w:val="0"/>
              <w:contextualSpacing/>
              <w:rPr>
                <w:rFonts w:ascii="Verdana" w:eastAsia="Calibri" w:hAnsi="Verdana" w:cs="Calibri"/>
                <w:color w:val="000000"/>
                <w:sz w:val="18"/>
                <w:szCs w:val="18"/>
                <w:lang w:bidi="fr-FR"/>
              </w:rPr>
            </w:pPr>
          </w:p>
        </w:tc>
        <w:tc>
          <w:tcPr>
            <w:tcW w:w="2835" w:type="dxa"/>
            <w:tcBorders>
              <w:top w:val="single" w:sz="4" w:space="0" w:color="auto"/>
              <w:left w:val="single" w:sz="4" w:space="0" w:color="000000"/>
              <w:bottom w:val="single" w:sz="4" w:space="0" w:color="auto"/>
              <w:right w:val="single" w:sz="4" w:space="0" w:color="auto"/>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Moule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E16E8" w:rsidRPr="006E16E8" w:rsidRDefault="006E16E8" w:rsidP="006E16E8">
            <w:pPr>
              <w:widowControl w:val="0"/>
              <w:contextualSpacing/>
              <w:rPr>
                <w:rFonts w:ascii="Verdana" w:eastAsia="Calibri" w:hAnsi="Verdana" w:cs="Calibri"/>
                <w:i/>
                <w:color w:val="000000"/>
                <w:sz w:val="18"/>
                <w:szCs w:val="18"/>
                <w:lang w:bidi="fr-FR"/>
              </w:rPr>
            </w:pPr>
            <w:proofErr w:type="spellStart"/>
            <w:r w:rsidRPr="006E16E8">
              <w:rPr>
                <w:rFonts w:ascii="Verdana" w:eastAsia="Calibri" w:hAnsi="Verdana" w:cs="Calibri"/>
                <w:i/>
                <w:color w:val="000000"/>
                <w:sz w:val="18"/>
                <w:szCs w:val="18"/>
                <w:lang w:bidi="fr-FR"/>
              </w:rPr>
              <w:t>Mytilus</w:t>
            </w:r>
            <w:proofErr w:type="spellEnd"/>
            <w:r w:rsidRPr="006E16E8">
              <w:rPr>
                <w:rFonts w:ascii="Verdana" w:eastAsia="Calibri" w:hAnsi="Verdana" w:cs="Calibri"/>
                <w:i/>
                <w:color w:val="000000"/>
                <w:sz w:val="18"/>
                <w:szCs w:val="18"/>
                <w:lang w:bidi="fr-FR"/>
              </w:rPr>
              <w:t xml:space="preserve"> </w:t>
            </w:r>
            <w:proofErr w:type="spellStart"/>
            <w:r w:rsidRPr="006E16E8">
              <w:rPr>
                <w:rFonts w:ascii="Verdana" w:eastAsia="Calibri" w:hAnsi="Verdana" w:cs="Calibri"/>
                <w:i/>
                <w:color w:val="000000"/>
                <w:sz w:val="18"/>
                <w:szCs w:val="18"/>
                <w:lang w:bidi="fr-FR"/>
              </w:rPr>
              <w:t>edulis</w:t>
            </w:r>
            <w:proofErr w:type="spellEnd"/>
          </w:p>
        </w:tc>
      </w:tr>
      <w:tr w:rsidR="006E16E8" w:rsidRPr="006E16E8" w:rsidTr="006E16E8">
        <w:trPr>
          <w:trHeight w:val="70"/>
        </w:trPr>
        <w:tc>
          <w:tcPr>
            <w:tcW w:w="1984" w:type="dxa"/>
            <w:vMerge/>
            <w:tcBorders>
              <w:left w:val="single" w:sz="4" w:space="0" w:color="000000"/>
              <w:bottom w:val="single" w:sz="4" w:space="0" w:color="auto"/>
              <w:right w:val="single" w:sz="4" w:space="0" w:color="000000"/>
            </w:tcBorders>
          </w:tcPr>
          <w:p w:rsidR="006E16E8" w:rsidRPr="006E16E8" w:rsidRDefault="006E16E8" w:rsidP="006E16E8">
            <w:pPr>
              <w:widowControl w:val="0"/>
              <w:contextualSpacing/>
              <w:rPr>
                <w:rFonts w:ascii="Verdana" w:eastAsia="Calibri" w:hAnsi="Verdana" w:cs="Calibri"/>
                <w:color w:val="000000"/>
                <w:sz w:val="18"/>
                <w:szCs w:val="18"/>
                <w:lang w:bidi="fr-FR"/>
              </w:rPr>
            </w:pPr>
          </w:p>
        </w:tc>
        <w:tc>
          <w:tcPr>
            <w:tcW w:w="2835" w:type="dxa"/>
            <w:tcBorders>
              <w:top w:val="single" w:sz="4" w:space="0" w:color="auto"/>
              <w:left w:val="single" w:sz="4" w:space="0" w:color="000000"/>
              <w:bottom w:val="single" w:sz="4" w:space="0" w:color="auto"/>
              <w:right w:val="single" w:sz="4" w:space="0" w:color="auto"/>
            </w:tcBorders>
            <w:shd w:val="clear" w:color="auto" w:fill="auto"/>
            <w:vAlign w:val="center"/>
          </w:tcPr>
          <w:p w:rsidR="006E16E8" w:rsidRPr="006E16E8" w:rsidRDefault="006E16E8" w:rsidP="006E16E8">
            <w:pPr>
              <w:widowControl w:val="0"/>
              <w:contextualSpacing/>
              <w:rPr>
                <w:rFonts w:ascii="Verdana" w:eastAsia="Calibri" w:hAnsi="Verdana" w:cs="Calibri"/>
                <w:color w:val="000000"/>
                <w:sz w:val="18"/>
                <w:szCs w:val="18"/>
                <w:lang w:bidi="fr-FR"/>
              </w:rPr>
            </w:pPr>
            <w:r w:rsidRPr="006E16E8">
              <w:rPr>
                <w:rFonts w:ascii="Verdana" w:eastAsia="Calibri" w:hAnsi="Verdana" w:cs="Calibri"/>
                <w:color w:val="000000"/>
                <w:sz w:val="18"/>
                <w:szCs w:val="18"/>
                <w:lang w:bidi="fr-FR"/>
              </w:rPr>
              <w:t>Huître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E16E8" w:rsidRPr="006E16E8" w:rsidRDefault="006E16E8" w:rsidP="006E16E8">
            <w:pPr>
              <w:widowControl w:val="0"/>
              <w:contextualSpacing/>
              <w:rPr>
                <w:rFonts w:ascii="Verdana" w:eastAsia="Calibri" w:hAnsi="Verdana" w:cs="Cambria"/>
                <w:i/>
                <w:color w:val="000000"/>
                <w:sz w:val="18"/>
                <w:szCs w:val="18"/>
                <w:lang w:bidi="fr-FR"/>
              </w:rPr>
            </w:pPr>
            <w:proofErr w:type="spellStart"/>
            <w:r w:rsidRPr="006E16E8">
              <w:rPr>
                <w:rFonts w:ascii="Verdana" w:eastAsia="Arial" w:hAnsi="Verdana" w:cs="Cambria"/>
                <w:i/>
                <w:sz w:val="18"/>
                <w:szCs w:val="18"/>
                <w:lang w:bidi="fr-FR"/>
              </w:rPr>
              <w:t>Crassostrea</w:t>
            </w:r>
            <w:proofErr w:type="spellEnd"/>
            <w:r w:rsidRPr="006E16E8">
              <w:rPr>
                <w:rFonts w:ascii="Verdana" w:eastAsia="Arial" w:hAnsi="Verdana" w:cs="Cambria"/>
                <w:i/>
                <w:sz w:val="18"/>
                <w:szCs w:val="18"/>
                <w:lang w:bidi="fr-FR"/>
              </w:rPr>
              <w:t xml:space="preserve"> gigas</w:t>
            </w:r>
          </w:p>
        </w:tc>
      </w:tr>
    </w:tbl>
    <w:p w:rsidR="006E16E8" w:rsidRDefault="006E16E8" w:rsidP="006E16E8">
      <w:pPr>
        <w:jc w:val="both"/>
        <w:rPr>
          <w:rFonts w:ascii="Verdana" w:eastAsia="Verdana" w:hAnsi="Verdana" w:cs="Verdana"/>
        </w:rPr>
      </w:pPr>
    </w:p>
    <w:p w:rsid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b/>
        </w:rPr>
      </w:pPr>
      <w:r w:rsidRPr="006E16E8">
        <w:rPr>
          <w:rFonts w:ascii="Verdana" w:eastAsia="Verdana" w:hAnsi="Verdana" w:cs="Verdana"/>
          <w:b/>
        </w:rPr>
        <w:t>Pour le lot 2, « Poissons et coquillages surgelés »</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Le fournisseur proposera une gamme de produits de la pêche surgelés issus des espèces de la liste figurant au lot 1, mais pourra aussi proposer des espèces équivalentes, pour assurer l’approvisionnement requis.</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Sur la durée du marché, le fournisseur s’engage à livrer une quantité minimale parmi cette liste d’espèces : « … » % à définir</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Les produits devront présenter un degré de fraîcheur au moins égal à celui exigé pour le poisson frais avant d’être surgelés puis emballés.</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Ils devront répondre aux spécifications GPEM en vigueur :</w:t>
      </w:r>
    </w:p>
    <w:p w:rsidR="006E16E8" w:rsidRPr="006E16E8" w:rsidRDefault="006E16E8" w:rsidP="006E16E8">
      <w:pPr>
        <w:ind w:left="851"/>
        <w:jc w:val="both"/>
        <w:rPr>
          <w:rFonts w:ascii="Verdana" w:eastAsia="Verdana" w:hAnsi="Verdana" w:cs="Verdana"/>
        </w:rPr>
      </w:pPr>
      <w:r w:rsidRPr="006E16E8">
        <w:rPr>
          <w:rFonts w:ascii="Verdana" w:eastAsia="Verdana" w:hAnsi="Verdana" w:cs="Verdana"/>
        </w:rPr>
        <w:t>-</w:t>
      </w:r>
      <w:r w:rsidRPr="006E16E8">
        <w:rPr>
          <w:rFonts w:ascii="Verdana" w:eastAsia="Verdana" w:hAnsi="Verdana" w:cs="Verdana"/>
        </w:rPr>
        <w:tab/>
        <w:t>DA 5541-4 Produits de la mer et d’eau douce</w:t>
      </w:r>
    </w:p>
    <w:p w:rsidR="006E16E8" w:rsidRPr="006E16E8" w:rsidRDefault="006E16E8" w:rsidP="006E16E8">
      <w:pPr>
        <w:ind w:left="851"/>
        <w:jc w:val="both"/>
        <w:rPr>
          <w:rFonts w:ascii="Verdana" w:eastAsia="Verdana" w:hAnsi="Verdana" w:cs="Verdana"/>
        </w:rPr>
      </w:pPr>
      <w:r w:rsidRPr="006E16E8">
        <w:rPr>
          <w:rFonts w:ascii="Verdana" w:eastAsia="Verdana" w:hAnsi="Verdana" w:cs="Verdana"/>
        </w:rPr>
        <w:t>-</w:t>
      </w:r>
      <w:r w:rsidRPr="006E16E8">
        <w:rPr>
          <w:rFonts w:ascii="Verdana" w:eastAsia="Verdana" w:hAnsi="Verdana" w:cs="Verdana"/>
        </w:rPr>
        <w:tab/>
        <w:t>DA C9-01 Spécifications techniques relatives aux poissons congelés ou surgelés</w:t>
      </w:r>
    </w:p>
    <w:p w:rsidR="006E16E8" w:rsidRPr="006E16E8" w:rsidRDefault="006E16E8" w:rsidP="006E16E8">
      <w:pPr>
        <w:ind w:left="851"/>
        <w:jc w:val="both"/>
        <w:rPr>
          <w:rFonts w:ascii="Verdana" w:eastAsia="Verdana" w:hAnsi="Verdana" w:cs="Verdana"/>
        </w:rPr>
      </w:pPr>
      <w:r w:rsidRPr="006E16E8">
        <w:rPr>
          <w:rFonts w:ascii="Verdana" w:eastAsia="Verdana" w:hAnsi="Verdana" w:cs="Verdana"/>
        </w:rPr>
        <w:t>-</w:t>
      </w:r>
      <w:r w:rsidRPr="006E16E8">
        <w:rPr>
          <w:rFonts w:ascii="Verdana" w:eastAsia="Verdana" w:hAnsi="Verdana" w:cs="Verdana"/>
        </w:rPr>
        <w:tab/>
        <w:t>DA C10-01 relative aux produits enrobés à base de poisson congelés ou surgelés</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Leur niveau d’élaboration attendu est conforme à la Norme AFNOR NF.V 45-074 - Poissons transformés - Portions de filet de poisson surgelé.</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En raison de l’impact sur la texture du poisson, le candidat indiquera le mode de surgélation (bord/terre – type de surgélation individuellement (norme IQF)).</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Les produits surgelés ne devront pas subir de double congélation et ne doivent pas présenter de zones de déshydratation intenses (brûlures par le froid).</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Les produits ne doivent pas présenter de brisures ou morceaux et ne pas présenter de givre pour pouvoir être séparés facilement.</w:t>
      </w:r>
    </w:p>
    <w:p w:rsidR="006E16E8" w:rsidRPr="006E16E8" w:rsidRDefault="006E16E8" w:rsidP="006E16E8">
      <w:pPr>
        <w:jc w:val="both"/>
        <w:rPr>
          <w:rFonts w:ascii="Verdana" w:eastAsia="Verdana" w:hAnsi="Verdana" w:cs="Verdana"/>
        </w:rPr>
      </w:pPr>
    </w:p>
    <w:p w:rsidR="006E16E8" w:rsidRPr="006E16E8" w:rsidRDefault="006E16E8" w:rsidP="006E16E8">
      <w:pPr>
        <w:ind w:left="709"/>
        <w:jc w:val="both"/>
        <w:rPr>
          <w:rFonts w:ascii="Verdana" w:eastAsia="Verdana" w:hAnsi="Verdana" w:cs="Verdana"/>
        </w:rPr>
      </w:pPr>
      <w:r w:rsidRPr="006E16E8">
        <w:rPr>
          <w:rFonts w:ascii="Verdana" w:eastAsia="Verdana" w:hAnsi="Verdana" w:cs="Verdana"/>
        </w:rPr>
        <w:t>-</w:t>
      </w:r>
      <w:r w:rsidRPr="006E16E8">
        <w:rPr>
          <w:rFonts w:ascii="Verdana" w:eastAsia="Verdana" w:hAnsi="Verdana" w:cs="Verdana"/>
        </w:rPr>
        <w:tab/>
        <w:t xml:space="preserve">Pour </w:t>
      </w:r>
      <w:r w:rsidRPr="006E16E8">
        <w:rPr>
          <w:rFonts w:ascii="Verdana" w:eastAsia="Verdana" w:hAnsi="Verdana" w:cs="Verdana"/>
          <w:u w:val="single"/>
        </w:rPr>
        <w:t>les découpes, filets et portions de poissons surgelés</w:t>
      </w:r>
      <w:r w:rsidRPr="006E16E8">
        <w:rPr>
          <w:rFonts w:ascii="Verdana" w:eastAsia="Verdana" w:hAnsi="Verdana" w:cs="Verdana"/>
        </w:rPr>
        <w:t xml:space="preserve">, ceux-ci seront natures, crus ou cuits, sans peau (sauf spécification particulière) et garantie sans arête. Le </w:t>
      </w:r>
      <w:proofErr w:type="spellStart"/>
      <w:r w:rsidRPr="006E16E8">
        <w:rPr>
          <w:rFonts w:ascii="Verdana" w:eastAsia="Verdana" w:hAnsi="Verdana" w:cs="Verdana"/>
        </w:rPr>
        <w:t>glazurage</w:t>
      </w:r>
      <w:proofErr w:type="spellEnd"/>
      <w:r w:rsidRPr="006E16E8">
        <w:rPr>
          <w:rFonts w:ascii="Verdana" w:eastAsia="Verdana" w:hAnsi="Verdana" w:cs="Verdana"/>
        </w:rPr>
        <w:t xml:space="preserve">, consistant à enrober de glace les produits surgelés individuellement pour les protéger est à mentionner lorsqu’il est mis en œuvre. Conformément à la réglementation, le poids net des produits </w:t>
      </w:r>
      <w:proofErr w:type="spellStart"/>
      <w:r w:rsidRPr="006E16E8">
        <w:rPr>
          <w:rFonts w:ascii="Verdana" w:eastAsia="Verdana" w:hAnsi="Verdana" w:cs="Verdana"/>
        </w:rPr>
        <w:t>glazurés</w:t>
      </w:r>
      <w:proofErr w:type="spellEnd"/>
      <w:r w:rsidRPr="006E16E8">
        <w:rPr>
          <w:rFonts w:ascii="Verdana" w:eastAsia="Verdana" w:hAnsi="Verdana" w:cs="Verdana"/>
        </w:rPr>
        <w:t xml:space="preserve"> s’entend hors </w:t>
      </w:r>
      <w:proofErr w:type="spellStart"/>
      <w:r w:rsidRPr="006E16E8">
        <w:rPr>
          <w:rFonts w:ascii="Verdana" w:eastAsia="Verdana" w:hAnsi="Verdana" w:cs="Verdana"/>
        </w:rPr>
        <w:t>glazurage</w:t>
      </w:r>
      <w:proofErr w:type="spellEnd"/>
      <w:r w:rsidRPr="006E16E8">
        <w:rPr>
          <w:rFonts w:ascii="Verdana" w:eastAsia="Verdana" w:hAnsi="Verdana" w:cs="Verdana"/>
        </w:rPr>
        <w:t>.</w:t>
      </w:r>
    </w:p>
    <w:p w:rsidR="006E16E8" w:rsidRPr="006E16E8" w:rsidRDefault="006E16E8" w:rsidP="006E16E8">
      <w:pPr>
        <w:jc w:val="both"/>
        <w:rPr>
          <w:rFonts w:ascii="Verdana" w:eastAsia="Verdana" w:hAnsi="Verdana" w:cs="Verdana"/>
        </w:rPr>
      </w:pPr>
    </w:p>
    <w:p w:rsidR="006E16E8" w:rsidRDefault="006E16E8" w:rsidP="006E16E8">
      <w:pPr>
        <w:jc w:val="both"/>
        <w:rPr>
          <w:rFonts w:ascii="Verdana" w:eastAsia="Verdana" w:hAnsi="Verdana" w:cs="Verdana"/>
        </w:rPr>
      </w:pPr>
      <w:r w:rsidRPr="006E16E8">
        <w:rPr>
          <w:rFonts w:ascii="Verdana" w:eastAsia="Verdana" w:hAnsi="Verdana" w:cs="Verdana"/>
        </w:rPr>
        <w:t xml:space="preserve">Pour les </w:t>
      </w:r>
      <w:r w:rsidRPr="006E16E8">
        <w:rPr>
          <w:rFonts w:ascii="Verdana" w:eastAsia="Verdana" w:hAnsi="Verdana" w:cs="Verdana"/>
          <w:u w:val="single"/>
        </w:rPr>
        <w:t>portions de filets de poissons élaborées surgelés</w:t>
      </w:r>
      <w:r w:rsidRPr="006E16E8">
        <w:rPr>
          <w:rFonts w:ascii="Verdana" w:eastAsia="Verdana" w:hAnsi="Verdana" w:cs="Verdana"/>
        </w:rPr>
        <w:t xml:space="preserve"> seront, ceux-ci seront garantis sans arête, compacts. Le poisson nature sera donc composé à 100% de chair de poisson, constituée à partir de morceaux de filets individuels congelés en blocs. La proposition de produits à base de portions moulées ou de chair hachée moulée est proscrite. Les portions de filets panés cru, cuits à cœur et/ou pré frits contiendront au minimum 70 % de poisson et auront un rapport protéines sur lipides supérieur à 2. La panure L’huile de palme et les OGM dans les ingrédients constituant la panure sont proscrits. Pas d’usage d’huile de palme non plus pour la cuisson ou </w:t>
      </w:r>
      <w:proofErr w:type="spellStart"/>
      <w:r w:rsidRPr="006E16E8">
        <w:rPr>
          <w:rFonts w:ascii="Verdana" w:eastAsia="Verdana" w:hAnsi="Verdana" w:cs="Verdana"/>
        </w:rPr>
        <w:t>précuisson</w:t>
      </w:r>
      <w:proofErr w:type="spellEnd"/>
      <w:r w:rsidRPr="006E16E8">
        <w:rPr>
          <w:rFonts w:ascii="Verdana" w:eastAsia="Verdana" w:hAnsi="Verdana" w:cs="Verdana"/>
        </w:rPr>
        <w:t xml:space="preserve"> (huile végétale à spécifier).</w:t>
      </w:r>
    </w:p>
    <w:p w:rsidR="005F7DCD" w:rsidRDefault="005F7DCD">
      <w:pPr>
        <w:jc w:val="both"/>
        <w:rPr>
          <w:rFonts w:ascii="Verdana" w:eastAsia="Verdana" w:hAnsi="Verdana" w:cs="Verdana"/>
          <w:color w:val="FF0000"/>
        </w:rPr>
      </w:pPr>
    </w:p>
    <w:p w:rsidR="005F7DCD" w:rsidRDefault="005F7DCD">
      <w:pPr>
        <w:jc w:val="both"/>
        <w:rPr>
          <w:rFonts w:ascii="Verdana" w:eastAsia="Verdana" w:hAnsi="Verdana" w:cs="Verdana"/>
        </w:rPr>
      </w:pPr>
    </w:p>
    <w:p w:rsidR="005F7DCD" w:rsidRDefault="00E74E82">
      <w:pPr>
        <w:numPr>
          <w:ilvl w:val="0"/>
          <w:numId w:val="4"/>
        </w:numPr>
        <w:jc w:val="both"/>
        <w:rPr>
          <w:rFonts w:ascii="Verdana" w:eastAsia="Verdana" w:hAnsi="Verdana" w:cs="Verdana"/>
        </w:rPr>
      </w:pPr>
      <w:r>
        <w:rPr>
          <w:rFonts w:ascii="Verdana" w:eastAsia="Verdana" w:hAnsi="Verdana" w:cs="Verdana"/>
          <w:b/>
          <w:i/>
        </w:rPr>
        <w:t>Conditionnement (emballage, étiquetage et présentation)</w:t>
      </w:r>
    </w:p>
    <w:p w:rsidR="005F7DCD" w:rsidRDefault="005F7DCD">
      <w:pPr>
        <w:ind w:left="786"/>
        <w:jc w:val="both"/>
        <w:rPr>
          <w:rFonts w:ascii="Verdana" w:eastAsia="Verdana" w:hAnsi="Verdana" w:cs="Verdana"/>
        </w:rPr>
      </w:pPr>
    </w:p>
    <w:p w:rsidR="005F7DCD" w:rsidRDefault="00E74E82">
      <w:pPr>
        <w:numPr>
          <w:ilvl w:val="0"/>
          <w:numId w:val="2"/>
        </w:numPr>
        <w:jc w:val="both"/>
        <w:rPr>
          <w:rFonts w:ascii="Verdana" w:eastAsia="Verdana" w:hAnsi="Verdana" w:cs="Verdana"/>
        </w:rPr>
      </w:pPr>
      <w:r>
        <w:rPr>
          <w:rFonts w:ascii="Verdana" w:eastAsia="Verdana" w:hAnsi="Verdana" w:cs="Verdana"/>
          <w:b/>
          <w:i/>
        </w:rPr>
        <w:t>Emballage</w:t>
      </w:r>
    </w:p>
    <w:p w:rsidR="005F7DCD" w:rsidRDefault="005F7DCD">
      <w:pPr>
        <w:ind w:left="786"/>
        <w:jc w:val="both"/>
        <w:rPr>
          <w:rFonts w:ascii="Verdana" w:eastAsia="Verdana" w:hAnsi="Verdana" w:cs="Verdana"/>
        </w:rPr>
      </w:pPr>
    </w:p>
    <w:p w:rsidR="005F7DCD" w:rsidRDefault="00E74E82">
      <w:pPr>
        <w:jc w:val="both"/>
        <w:rPr>
          <w:rFonts w:ascii="Verdana" w:eastAsia="Verdana" w:hAnsi="Verdana" w:cs="Verdana"/>
        </w:rPr>
      </w:pPr>
      <w:r>
        <w:rPr>
          <w:rFonts w:ascii="Verdana" w:eastAsia="Verdana" w:hAnsi="Verdana" w:cs="Verdana"/>
          <w:b/>
        </w:rPr>
        <w:t>Pour tous les lots ;</w:t>
      </w:r>
    </w:p>
    <w:p w:rsidR="005F7DCD" w:rsidRDefault="005F7DCD">
      <w:pPr>
        <w:jc w:val="both"/>
        <w:rPr>
          <w:rFonts w:ascii="Verdana" w:eastAsia="Verdana" w:hAnsi="Verdana" w:cs="Verdana"/>
        </w:rPr>
      </w:pPr>
    </w:p>
    <w:p w:rsidR="005F7DCD" w:rsidRDefault="00E74E82">
      <w:pPr>
        <w:jc w:val="both"/>
        <w:rPr>
          <w:rFonts w:ascii="Verdana" w:eastAsia="Verdana" w:hAnsi="Verdana" w:cs="Verdana"/>
        </w:rPr>
      </w:pPr>
      <w:r>
        <w:rPr>
          <w:rFonts w:ascii="Verdana" w:eastAsia="Verdana" w:hAnsi="Verdana" w:cs="Verdana"/>
        </w:rPr>
        <w:t>Les emballages devront être conformes aux normes françaises pour les productions françaises. Pour les produits provenant de pays tiers, les emballages devront être conformes aux normes européennes (ou équivalentes).</w:t>
      </w:r>
    </w:p>
    <w:p w:rsidR="005F7DCD" w:rsidRDefault="005F7DCD">
      <w:pPr>
        <w:jc w:val="both"/>
        <w:rPr>
          <w:rFonts w:ascii="Verdana" w:eastAsia="Verdana" w:hAnsi="Verdana" w:cs="Verdana"/>
        </w:rPr>
      </w:pPr>
    </w:p>
    <w:p w:rsidR="005F7DCD" w:rsidRDefault="00E74E82">
      <w:pPr>
        <w:jc w:val="both"/>
        <w:rPr>
          <w:rFonts w:ascii="Verdana" w:eastAsia="Verdana" w:hAnsi="Verdana" w:cs="Verdana"/>
        </w:rPr>
      </w:pPr>
      <w:r>
        <w:rPr>
          <w:rFonts w:ascii="Verdana" w:eastAsia="Verdana" w:hAnsi="Verdana" w:cs="Verdana"/>
        </w:rPr>
        <w:t>Le conditionnement devra assurer une protection convenable du produit. Les matériaux utilisés doivent être propres et ne doivent pas causer d’altération aux produits.</w:t>
      </w:r>
    </w:p>
    <w:p w:rsidR="005F7DCD" w:rsidRDefault="005F7DCD">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Les poissons frais pourront être livrés en mode sous vide ou en frais conditionnés en caissettes sous glace, conformément à la réglementation en vigueur.</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Les coquillages frais seront livrés en vrac ou conditionnés sous vide.</w:t>
      </w:r>
    </w:p>
    <w:p w:rsidR="006E16E8" w:rsidRPr="006E16E8" w:rsidRDefault="006E16E8" w:rsidP="006E16E8">
      <w:pPr>
        <w:jc w:val="both"/>
        <w:rPr>
          <w:rFonts w:ascii="Verdana" w:eastAsia="Verdana" w:hAnsi="Verdana" w:cs="Verdana"/>
        </w:rPr>
      </w:pPr>
      <w:r w:rsidRPr="006E16E8">
        <w:rPr>
          <w:rFonts w:ascii="Verdana" w:eastAsia="Verdana" w:hAnsi="Verdana" w:cs="Verdana"/>
        </w:rPr>
        <w:t>Les produits surgelés seront livrés en cartons. Le calibrage et nombre d’unité par paquet est à préciser.</w:t>
      </w:r>
    </w:p>
    <w:p w:rsidR="006E16E8" w:rsidRPr="006E16E8" w:rsidRDefault="006E16E8" w:rsidP="006E16E8">
      <w:pPr>
        <w:jc w:val="both"/>
        <w:rPr>
          <w:rFonts w:ascii="Verdana" w:eastAsia="Verdana" w:hAnsi="Verdana" w:cs="Verdana"/>
        </w:rPr>
      </w:pPr>
    </w:p>
    <w:p w:rsidR="006E16E8" w:rsidRPr="006E16E8" w:rsidRDefault="006E16E8" w:rsidP="006E16E8">
      <w:pPr>
        <w:jc w:val="both"/>
        <w:rPr>
          <w:rFonts w:ascii="Verdana" w:eastAsia="Verdana" w:hAnsi="Verdana" w:cs="Verdana"/>
        </w:rPr>
      </w:pPr>
      <w:r w:rsidRPr="006E16E8">
        <w:rPr>
          <w:rFonts w:ascii="Verdana" w:eastAsia="Verdana" w:hAnsi="Verdana" w:cs="Verdana"/>
        </w:rPr>
        <w:t>Chaque produit doit être présenté avec un minimum d’emballage afin de limiter et faciliter les manipulations.</w:t>
      </w:r>
    </w:p>
    <w:p w:rsidR="005F7DCD" w:rsidRDefault="005F7DCD">
      <w:pPr>
        <w:jc w:val="both"/>
        <w:rPr>
          <w:rFonts w:ascii="Verdana" w:eastAsia="Verdana" w:hAnsi="Verdana" w:cs="Verdana"/>
        </w:rPr>
      </w:pPr>
    </w:p>
    <w:p w:rsidR="005F7DCD" w:rsidRDefault="00E74E82">
      <w:pPr>
        <w:numPr>
          <w:ilvl w:val="0"/>
          <w:numId w:val="2"/>
        </w:numPr>
        <w:jc w:val="both"/>
        <w:rPr>
          <w:rFonts w:ascii="Verdana" w:eastAsia="Verdana" w:hAnsi="Verdana" w:cs="Verdana"/>
        </w:rPr>
      </w:pPr>
      <w:r>
        <w:rPr>
          <w:rFonts w:ascii="Verdana" w:eastAsia="Verdana" w:hAnsi="Verdana" w:cs="Verdana"/>
          <w:b/>
          <w:i/>
        </w:rPr>
        <w:t>Etiquetage</w:t>
      </w:r>
    </w:p>
    <w:p w:rsidR="005F7DCD" w:rsidRDefault="005F7DCD">
      <w:pPr>
        <w:jc w:val="both"/>
        <w:rPr>
          <w:rFonts w:ascii="Verdana" w:eastAsia="Verdana" w:hAnsi="Verdana" w:cs="Verdana"/>
        </w:rPr>
      </w:pPr>
    </w:p>
    <w:p w:rsidR="006E16E8" w:rsidRPr="00B048E5" w:rsidRDefault="006E16E8" w:rsidP="006E16E8">
      <w:pPr>
        <w:rPr>
          <w:rFonts w:ascii="Verdana" w:eastAsia="Verdana" w:hAnsi="Verdana" w:cs="Verdana"/>
        </w:rPr>
      </w:pPr>
      <w:r w:rsidRPr="00B048E5">
        <w:rPr>
          <w:rFonts w:ascii="Verdana" w:eastAsia="Verdana" w:hAnsi="Verdana" w:cs="Verdana"/>
        </w:rPr>
        <w:t>Chaque colis doit porter un étiquetage complet ou à défaut, chaque bon de livraison doit contenir l’intégralité des éléments suivants :</w:t>
      </w:r>
    </w:p>
    <w:p w:rsidR="006E16E8" w:rsidRPr="00B048E5" w:rsidRDefault="006E16E8" w:rsidP="006E16E8">
      <w:pPr>
        <w:numPr>
          <w:ilvl w:val="1"/>
          <w:numId w:val="8"/>
        </w:numPr>
        <w:ind w:left="1701" w:firstLine="0"/>
        <w:rPr>
          <w:rFonts w:ascii="Verdana" w:eastAsia="Verdana" w:hAnsi="Verdana" w:cs="Verdana"/>
        </w:rPr>
      </w:pPr>
      <w:r w:rsidRPr="00B048E5">
        <w:rPr>
          <w:rFonts w:ascii="Verdana" w:eastAsia="Verdana" w:hAnsi="Verdana" w:cs="Verdana"/>
        </w:rPr>
        <w:t>nature du produit</w:t>
      </w:r>
    </w:p>
    <w:p w:rsidR="006E16E8" w:rsidRPr="00B048E5" w:rsidRDefault="006E16E8" w:rsidP="006E16E8">
      <w:pPr>
        <w:numPr>
          <w:ilvl w:val="1"/>
          <w:numId w:val="8"/>
        </w:numPr>
        <w:ind w:left="1701" w:firstLine="0"/>
        <w:rPr>
          <w:rFonts w:ascii="Verdana" w:eastAsia="Verdana" w:hAnsi="Verdana" w:cs="Verdana"/>
        </w:rPr>
      </w:pPr>
      <w:r w:rsidRPr="00B048E5">
        <w:rPr>
          <w:rFonts w:ascii="Verdana" w:eastAsia="Verdana" w:hAnsi="Verdana" w:cs="Verdana"/>
        </w:rPr>
        <w:t>l’espèce du produit</w:t>
      </w:r>
    </w:p>
    <w:p w:rsidR="006E16E8" w:rsidRPr="00B048E5" w:rsidRDefault="006E16E8" w:rsidP="006E16E8">
      <w:pPr>
        <w:numPr>
          <w:ilvl w:val="1"/>
          <w:numId w:val="8"/>
        </w:numPr>
        <w:ind w:left="1701" w:firstLine="0"/>
        <w:rPr>
          <w:rFonts w:ascii="Verdana" w:eastAsia="Verdana" w:hAnsi="Verdana" w:cs="Verdana"/>
        </w:rPr>
      </w:pPr>
      <w:r w:rsidRPr="00B048E5">
        <w:rPr>
          <w:rFonts w:ascii="Verdana" w:eastAsia="Verdana" w:hAnsi="Verdana" w:cs="Verdana"/>
        </w:rPr>
        <w:t>quantité</w:t>
      </w:r>
    </w:p>
    <w:p w:rsidR="006E16E8" w:rsidRPr="00B048E5" w:rsidRDefault="006E16E8" w:rsidP="006E16E8">
      <w:pPr>
        <w:numPr>
          <w:ilvl w:val="1"/>
          <w:numId w:val="8"/>
        </w:numPr>
        <w:ind w:left="1701" w:firstLine="0"/>
        <w:rPr>
          <w:rFonts w:ascii="Verdana" w:eastAsia="Verdana" w:hAnsi="Verdana" w:cs="Verdana"/>
        </w:rPr>
      </w:pPr>
      <w:r w:rsidRPr="00B048E5">
        <w:rPr>
          <w:rFonts w:ascii="Verdana" w:eastAsia="Verdana" w:hAnsi="Verdana" w:cs="Verdana"/>
        </w:rPr>
        <w:t>numéro d’agrément</w:t>
      </w:r>
    </w:p>
    <w:p w:rsidR="006E16E8" w:rsidRPr="00B048E5" w:rsidRDefault="006E16E8" w:rsidP="006E16E8">
      <w:pPr>
        <w:numPr>
          <w:ilvl w:val="1"/>
          <w:numId w:val="8"/>
        </w:numPr>
        <w:ind w:left="1701" w:firstLine="0"/>
        <w:rPr>
          <w:rFonts w:ascii="Verdana" w:eastAsia="Verdana" w:hAnsi="Verdana" w:cs="Verdana"/>
        </w:rPr>
      </w:pPr>
      <w:r w:rsidRPr="00B048E5">
        <w:rPr>
          <w:rFonts w:ascii="Verdana" w:eastAsia="Verdana" w:hAnsi="Verdana" w:cs="Verdana"/>
        </w:rPr>
        <w:t>le mode de production ou le type de pêche</w:t>
      </w:r>
    </w:p>
    <w:p w:rsidR="006E16E8" w:rsidRPr="00B048E5" w:rsidRDefault="006E16E8" w:rsidP="006E16E8">
      <w:pPr>
        <w:numPr>
          <w:ilvl w:val="1"/>
          <w:numId w:val="8"/>
        </w:numPr>
        <w:ind w:left="1701" w:firstLine="0"/>
        <w:rPr>
          <w:rFonts w:ascii="Verdana" w:eastAsia="Verdana" w:hAnsi="Verdana" w:cs="Verdana"/>
        </w:rPr>
      </w:pPr>
      <w:r w:rsidRPr="00B048E5">
        <w:rPr>
          <w:rFonts w:ascii="Verdana" w:eastAsia="Verdana" w:hAnsi="Verdana" w:cs="Verdana"/>
        </w:rPr>
        <w:t>la zone de production ou de pêche</w:t>
      </w:r>
    </w:p>
    <w:p w:rsidR="006E16E8" w:rsidRPr="00B048E5" w:rsidRDefault="006E16E8" w:rsidP="006E16E8">
      <w:pPr>
        <w:numPr>
          <w:ilvl w:val="1"/>
          <w:numId w:val="8"/>
        </w:numPr>
        <w:ind w:left="1701" w:firstLine="0"/>
        <w:rPr>
          <w:rFonts w:ascii="Verdana" w:eastAsia="Verdana" w:hAnsi="Verdana" w:cs="Verdana"/>
        </w:rPr>
      </w:pPr>
      <w:r w:rsidRPr="00B048E5">
        <w:rPr>
          <w:rFonts w:ascii="Verdana" w:eastAsia="Verdana" w:hAnsi="Verdana" w:cs="Verdana"/>
        </w:rPr>
        <w:t>date de conditionnement ou de pêche</w:t>
      </w:r>
    </w:p>
    <w:p w:rsidR="006E16E8" w:rsidRPr="00B048E5" w:rsidRDefault="006E16E8" w:rsidP="006E16E8">
      <w:pPr>
        <w:numPr>
          <w:ilvl w:val="1"/>
          <w:numId w:val="8"/>
        </w:numPr>
        <w:ind w:left="1701" w:firstLine="0"/>
        <w:rPr>
          <w:rFonts w:ascii="Verdana" w:eastAsia="Verdana" w:hAnsi="Verdana" w:cs="Verdana"/>
        </w:rPr>
      </w:pPr>
      <w:r w:rsidRPr="00B048E5">
        <w:rPr>
          <w:rFonts w:ascii="Verdana" w:eastAsia="Verdana" w:hAnsi="Verdana" w:cs="Verdana"/>
        </w:rPr>
        <w:t>date limite de consommation pour les produits emballés surgelés ou sous vide.</w:t>
      </w:r>
    </w:p>
    <w:p w:rsidR="006E16E8" w:rsidRPr="00B048E5" w:rsidRDefault="006E16E8" w:rsidP="006E16E8">
      <w:pPr>
        <w:rPr>
          <w:rFonts w:ascii="Calibri" w:eastAsia="Calibri" w:hAnsi="Calibri" w:cs="Calibri"/>
        </w:rPr>
      </w:pPr>
    </w:p>
    <w:p w:rsidR="006E16E8" w:rsidRPr="00B048E5" w:rsidRDefault="006E16E8" w:rsidP="006E16E8">
      <w:pPr>
        <w:rPr>
          <w:rFonts w:ascii="Verdana" w:eastAsia="Verdana" w:hAnsi="Verdana" w:cstheme="majorHAnsi"/>
        </w:rPr>
      </w:pPr>
      <w:r w:rsidRPr="00B048E5">
        <w:rPr>
          <w:rFonts w:ascii="Verdana" w:eastAsia="Verdana" w:hAnsi="Verdana" w:cstheme="majorHAnsi"/>
        </w:rPr>
        <w:t>Les étiquetages devront en particulier respecter les règles de traçabilité en vigueur pour les produits aquatiques :</w:t>
      </w:r>
    </w:p>
    <w:p w:rsidR="006E16E8" w:rsidRPr="00B048E5" w:rsidRDefault="006E16E8" w:rsidP="006E16E8">
      <w:pPr>
        <w:pStyle w:val="Paragraphedeliste"/>
        <w:widowControl/>
        <w:numPr>
          <w:ilvl w:val="1"/>
          <w:numId w:val="9"/>
        </w:numPr>
        <w:spacing w:before="0"/>
        <w:ind w:left="1701"/>
        <w:contextualSpacing/>
        <w:rPr>
          <w:rFonts w:ascii="Verdana" w:eastAsia="Times New Roman" w:hAnsi="Verdana" w:cstheme="majorHAnsi"/>
          <w:sz w:val="20"/>
          <w:szCs w:val="20"/>
        </w:rPr>
      </w:pPr>
      <w:r w:rsidRPr="00B048E5">
        <w:rPr>
          <w:rFonts w:ascii="Verdana" w:eastAsia="Verdana" w:hAnsi="Verdana" w:cstheme="majorHAnsi"/>
          <w:sz w:val="20"/>
          <w:szCs w:val="20"/>
        </w:rPr>
        <w:t>Dénomination officielle de vente et nom scientifique de l’espèce,</w:t>
      </w:r>
    </w:p>
    <w:p w:rsidR="006E16E8" w:rsidRPr="00B048E5" w:rsidRDefault="006E16E8" w:rsidP="006E16E8">
      <w:pPr>
        <w:pStyle w:val="Paragraphedeliste"/>
        <w:widowControl/>
        <w:numPr>
          <w:ilvl w:val="1"/>
          <w:numId w:val="9"/>
        </w:numPr>
        <w:spacing w:before="0"/>
        <w:ind w:left="1701"/>
        <w:contextualSpacing/>
        <w:rPr>
          <w:rFonts w:ascii="Verdana" w:eastAsia="Times New Roman" w:hAnsi="Verdana" w:cstheme="majorHAnsi"/>
          <w:sz w:val="20"/>
          <w:szCs w:val="20"/>
        </w:rPr>
      </w:pPr>
      <w:r w:rsidRPr="00B048E5">
        <w:rPr>
          <w:rFonts w:ascii="Verdana" w:eastAsia="Verdana" w:hAnsi="Verdana" w:cstheme="majorHAnsi"/>
          <w:sz w:val="20"/>
          <w:szCs w:val="20"/>
        </w:rPr>
        <w:t>mentions pêché ou élevé,</w:t>
      </w:r>
    </w:p>
    <w:p w:rsidR="006E16E8" w:rsidRPr="00B048E5" w:rsidRDefault="006E16E8" w:rsidP="006E16E8">
      <w:pPr>
        <w:pStyle w:val="Paragraphedeliste"/>
        <w:widowControl/>
        <w:numPr>
          <w:ilvl w:val="1"/>
          <w:numId w:val="9"/>
        </w:numPr>
        <w:spacing w:before="0"/>
        <w:ind w:left="1701"/>
        <w:contextualSpacing/>
        <w:rPr>
          <w:rFonts w:ascii="Verdana" w:eastAsia="Times New Roman" w:hAnsi="Verdana" w:cstheme="majorHAnsi"/>
          <w:sz w:val="20"/>
          <w:szCs w:val="20"/>
        </w:rPr>
      </w:pPr>
      <w:r w:rsidRPr="00B048E5">
        <w:rPr>
          <w:rFonts w:ascii="Verdana" w:eastAsia="Verdana" w:hAnsi="Verdana" w:cstheme="majorHAnsi"/>
          <w:sz w:val="20"/>
          <w:szCs w:val="20"/>
        </w:rPr>
        <w:t>zones et sous-zones FAO ou pays d’origine,</w:t>
      </w:r>
    </w:p>
    <w:p w:rsidR="006E16E8" w:rsidRPr="00B048E5" w:rsidRDefault="006E16E8" w:rsidP="006E16E8">
      <w:pPr>
        <w:pStyle w:val="Paragraphedeliste"/>
        <w:widowControl/>
        <w:numPr>
          <w:ilvl w:val="1"/>
          <w:numId w:val="9"/>
        </w:numPr>
        <w:spacing w:before="0"/>
        <w:ind w:left="1701"/>
        <w:contextualSpacing/>
        <w:rPr>
          <w:rFonts w:ascii="Verdana" w:eastAsia="Times New Roman" w:hAnsi="Verdana" w:cstheme="majorHAnsi"/>
          <w:sz w:val="20"/>
          <w:szCs w:val="20"/>
        </w:rPr>
      </w:pPr>
      <w:r w:rsidRPr="00B048E5">
        <w:rPr>
          <w:rFonts w:ascii="Verdana" w:eastAsia="Verdana" w:hAnsi="Verdana" w:cstheme="majorHAnsi"/>
          <w:sz w:val="20"/>
          <w:szCs w:val="20"/>
        </w:rPr>
        <w:t>techniques de pêche mises en œuvre…</w:t>
      </w:r>
    </w:p>
    <w:p w:rsidR="006E16E8" w:rsidRPr="00B048E5" w:rsidRDefault="006E16E8" w:rsidP="006E16E8">
      <w:pPr>
        <w:ind w:left="1080"/>
        <w:rPr>
          <w:rFonts w:ascii="Verdana" w:eastAsia="Verdana" w:hAnsi="Verdana" w:cs="Verdana"/>
        </w:rPr>
      </w:pPr>
    </w:p>
    <w:p w:rsidR="006E16E8" w:rsidRPr="00B048E5" w:rsidRDefault="006E16E8" w:rsidP="006E16E8">
      <w:pPr>
        <w:rPr>
          <w:rFonts w:ascii="Verdana" w:eastAsia="Verdana" w:hAnsi="Verdana" w:cstheme="majorHAnsi"/>
        </w:rPr>
      </w:pPr>
      <w:r w:rsidRPr="00B048E5">
        <w:rPr>
          <w:rFonts w:ascii="Verdana" w:eastAsia="Verdana" w:hAnsi="Verdana" w:cstheme="majorHAnsi"/>
        </w:rPr>
        <w:t xml:space="preserve">Outre ces règles générales, l’application de la loi </w:t>
      </w:r>
      <w:proofErr w:type="spellStart"/>
      <w:r w:rsidRPr="00B048E5">
        <w:rPr>
          <w:rFonts w:ascii="Verdana" w:eastAsia="Verdana" w:hAnsi="Verdana" w:cstheme="majorHAnsi"/>
        </w:rPr>
        <w:t>Egalim</w:t>
      </w:r>
      <w:proofErr w:type="spellEnd"/>
      <w:r w:rsidRPr="00B048E5">
        <w:rPr>
          <w:rFonts w:ascii="Verdana" w:eastAsia="Verdana" w:hAnsi="Verdana" w:cstheme="majorHAnsi"/>
        </w:rPr>
        <w:t xml:space="preserve"> et les besoins de suivi administratif sur la nature et l’origine des produits, implique au titulaire d’identifier clairement sur ses offres, ses bons de livraison et ses factures :</w:t>
      </w:r>
    </w:p>
    <w:p w:rsidR="006E16E8" w:rsidRPr="00B048E5" w:rsidRDefault="006E16E8" w:rsidP="006E16E8">
      <w:pPr>
        <w:pStyle w:val="Paragraphedeliste"/>
        <w:widowControl/>
        <w:numPr>
          <w:ilvl w:val="0"/>
          <w:numId w:val="6"/>
        </w:numPr>
        <w:spacing w:before="0"/>
        <w:ind w:left="1701"/>
        <w:contextualSpacing/>
        <w:rPr>
          <w:rFonts w:ascii="Verdana" w:eastAsia="Verdana" w:hAnsi="Verdana" w:cstheme="majorHAnsi"/>
          <w:sz w:val="20"/>
          <w:szCs w:val="20"/>
        </w:rPr>
      </w:pPr>
      <w:r w:rsidRPr="00B048E5">
        <w:rPr>
          <w:rFonts w:ascii="Verdana" w:eastAsia="Verdana" w:hAnsi="Verdana" w:cstheme="majorHAnsi"/>
          <w:sz w:val="20"/>
          <w:szCs w:val="20"/>
        </w:rPr>
        <w:t>Les produits issus de la pêche ou de l’aquaculture durable (MSC, ASC ou équivalent),</w:t>
      </w:r>
    </w:p>
    <w:p w:rsidR="006E16E8" w:rsidRPr="00B048E5" w:rsidRDefault="006E16E8" w:rsidP="006E16E8">
      <w:pPr>
        <w:pStyle w:val="Paragraphedeliste"/>
        <w:widowControl/>
        <w:numPr>
          <w:ilvl w:val="0"/>
          <w:numId w:val="6"/>
        </w:numPr>
        <w:spacing w:before="0"/>
        <w:ind w:left="1701"/>
        <w:contextualSpacing/>
        <w:rPr>
          <w:rFonts w:ascii="Verdana" w:eastAsia="Verdana" w:hAnsi="Verdana" w:cstheme="majorHAnsi"/>
          <w:sz w:val="20"/>
          <w:szCs w:val="20"/>
        </w:rPr>
      </w:pPr>
      <w:r w:rsidRPr="00B048E5">
        <w:rPr>
          <w:rFonts w:ascii="Verdana" w:eastAsia="Verdana" w:hAnsi="Verdana" w:cstheme="majorHAnsi"/>
          <w:sz w:val="20"/>
          <w:szCs w:val="20"/>
        </w:rPr>
        <w:t>Les produits sous SIQO (Label Rouge, IGP, STG, Bio),</w:t>
      </w:r>
    </w:p>
    <w:p w:rsidR="006E16E8" w:rsidRPr="00B048E5" w:rsidRDefault="006E16E8" w:rsidP="006E16E8">
      <w:pPr>
        <w:pStyle w:val="Paragraphedeliste"/>
        <w:widowControl/>
        <w:numPr>
          <w:ilvl w:val="0"/>
          <w:numId w:val="6"/>
        </w:numPr>
        <w:spacing w:before="0"/>
        <w:ind w:left="1701"/>
        <w:contextualSpacing/>
        <w:rPr>
          <w:rFonts w:ascii="Verdana" w:eastAsia="Verdana" w:hAnsi="Verdana" w:cstheme="majorHAnsi"/>
          <w:sz w:val="20"/>
          <w:szCs w:val="20"/>
        </w:rPr>
      </w:pPr>
      <w:r w:rsidRPr="00B048E5">
        <w:rPr>
          <w:rFonts w:ascii="Verdana" w:eastAsia="Verdana" w:hAnsi="Verdana" w:cstheme="majorHAnsi"/>
          <w:sz w:val="20"/>
          <w:szCs w:val="20"/>
        </w:rPr>
        <w:t>Les produits issus de filière HVE et/ou de proximité (Saveurs de Normandie, Pavillon France…)</w:t>
      </w:r>
    </w:p>
    <w:p w:rsidR="006E16E8" w:rsidRPr="00B048E5" w:rsidRDefault="006E16E8" w:rsidP="006E16E8">
      <w:pPr>
        <w:pStyle w:val="Paragraphedeliste"/>
        <w:widowControl/>
        <w:numPr>
          <w:ilvl w:val="0"/>
          <w:numId w:val="6"/>
        </w:numPr>
        <w:spacing w:before="0"/>
        <w:ind w:left="1701"/>
        <w:contextualSpacing/>
        <w:rPr>
          <w:rFonts w:ascii="Verdana" w:eastAsia="Verdana" w:hAnsi="Verdana" w:cstheme="majorHAnsi"/>
          <w:sz w:val="20"/>
          <w:szCs w:val="20"/>
        </w:rPr>
      </w:pPr>
      <w:r w:rsidRPr="00B048E5">
        <w:rPr>
          <w:rFonts w:ascii="Verdana" w:eastAsia="Verdana" w:hAnsi="Verdana" w:cstheme="majorHAnsi"/>
          <w:sz w:val="20"/>
          <w:szCs w:val="20"/>
        </w:rPr>
        <w:t>La localisation des sites de transformation des produits proposés</w:t>
      </w:r>
    </w:p>
    <w:p w:rsidR="006E16E8" w:rsidRPr="00B048E5" w:rsidRDefault="006E16E8" w:rsidP="006E16E8">
      <w:pPr>
        <w:rPr>
          <w:rFonts w:ascii="Calibri" w:eastAsia="Calibri" w:hAnsi="Calibri" w:cs="Calibri"/>
        </w:rPr>
      </w:pPr>
    </w:p>
    <w:p w:rsidR="005F7DCD" w:rsidRDefault="005F7DCD">
      <w:pPr>
        <w:jc w:val="both"/>
        <w:rPr>
          <w:rFonts w:ascii="Verdana" w:eastAsia="Verdana" w:hAnsi="Verdana" w:cs="Verdana"/>
        </w:rPr>
      </w:pPr>
    </w:p>
    <w:p w:rsidR="005F7DCD" w:rsidRDefault="00E74E82">
      <w:pPr>
        <w:jc w:val="both"/>
        <w:rPr>
          <w:rFonts w:ascii="Verdana" w:eastAsia="Verdana" w:hAnsi="Verdana" w:cs="Verdana"/>
        </w:rPr>
      </w:pPr>
      <w:r>
        <w:rPr>
          <w:rFonts w:ascii="Verdana" w:eastAsia="Verdana" w:hAnsi="Verdana" w:cs="Verdana"/>
          <w:b/>
        </w:rPr>
        <w:t>A …, le</w:t>
      </w:r>
      <w:r>
        <w:rPr>
          <w:rFonts w:ascii="Verdana" w:eastAsia="Verdana" w:hAnsi="Verdana" w:cs="Verdana"/>
          <w:b/>
        </w:rPr>
        <w:tab/>
        <w:t xml:space="preserve"> …</w:t>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p>
    <w:p w:rsidR="005F7DCD" w:rsidRDefault="005F7DCD">
      <w:pPr>
        <w:jc w:val="both"/>
        <w:rPr>
          <w:rFonts w:ascii="Verdana" w:eastAsia="Verdana" w:hAnsi="Verdana" w:cs="Verdana"/>
        </w:rPr>
      </w:pPr>
    </w:p>
    <w:p w:rsidR="005F7DCD" w:rsidRDefault="00E74E82">
      <w:pPr>
        <w:jc w:val="both"/>
        <w:rPr>
          <w:rFonts w:ascii="Verdana" w:eastAsia="Verdana" w:hAnsi="Verdana" w:cs="Verdana"/>
        </w:rPr>
      </w:pPr>
      <w:r>
        <w:rPr>
          <w:rFonts w:ascii="Verdana" w:eastAsia="Verdana" w:hAnsi="Verdana" w:cs="Verdana"/>
          <w:b/>
        </w:rPr>
        <w:t>Le pouvoir adjudicateur.</w:t>
      </w:r>
    </w:p>
    <w:p w:rsidR="005F7DCD" w:rsidRDefault="005F7DCD">
      <w:pPr>
        <w:jc w:val="both"/>
        <w:rPr>
          <w:rFonts w:ascii="Verdana" w:eastAsia="Verdana" w:hAnsi="Verdana" w:cs="Verdana"/>
        </w:rPr>
      </w:pPr>
    </w:p>
    <w:p w:rsidR="005F7DCD" w:rsidRDefault="00E74E82">
      <w:pPr>
        <w:jc w:val="both"/>
        <w:rPr>
          <w:rFonts w:ascii="Verdana" w:eastAsia="Verdana" w:hAnsi="Verdana" w:cs="Verdana"/>
        </w:rPr>
      </w:pPr>
      <w:r>
        <w:rPr>
          <w:rFonts w:ascii="Verdana" w:eastAsia="Verdana" w:hAnsi="Verdana" w:cs="Verdana"/>
          <w:b/>
        </w:rPr>
        <w:t>Signature</w:t>
      </w:r>
      <w:bookmarkStart w:id="0" w:name="_GoBack"/>
      <w:bookmarkEnd w:id="0"/>
      <w:r>
        <w:rPr>
          <w:rFonts w:ascii="Verdana" w:eastAsia="Verdana" w:hAnsi="Verdana" w:cs="Verdana"/>
        </w:rPr>
        <w:tab/>
      </w:r>
      <w:r>
        <w:rPr>
          <w:rFonts w:ascii="Verdana" w:eastAsia="Verdana" w:hAnsi="Verdana" w:cs="Verdana"/>
        </w:rPr>
        <w:tab/>
      </w:r>
      <w:r>
        <w:rPr>
          <w:rFonts w:ascii="Verdana" w:eastAsia="Verdana" w:hAnsi="Verdana" w:cs="Verdana"/>
        </w:rPr>
        <w:tab/>
      </w:r>
    </w:p>
    <w:sectPr w:rsidR="005F7DCD">
      <w:footerReference w:type="default" r:id="rId8"/>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E82" w:rsidRDefault="00E74E82">
      <w:r>
        <w:separator/>
      </w:r>
    </w:p>
  </w:endnote>
  <w:endnote w:type="continuationSeparator" w:id="0">
    <w:p w:rsidR="00E74E82" w:rsidRDefault="00E7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CD" w:rsidRDefault="00E74E82">
    <w:pPr>
      <w:pBdr>
        <w:top w:val="nil"/>
        <w:left w:val="nil"/>
        <w:bottom w:val="nil"/>
        <w:right w:val="nil"/>
        <w:between w:val="nil"/>
      </w:pBdr>
      <w:tabs>
        <w:tab w:val="center" w:pos="4536"/>
        <w:tab w:val="right" w:pos="9072"/>
      </w:tabs>
      <w:jc w:val="right"/>
      <w:rPr>
        <w:rFonts w:ascii="Verdana" w:eastAsia="Verdana" w:hAnsi="Verdana" w:cs="Verdana"/>
        <w:color w:val="000000"/>
        <w:sz w:val="16"/>
        <w:szCs w:val="16"/>
      </w:rPr>
    </w:pPr>
    <w:r>
      <w:rPr>
        <w:rFonts w:ascii="Verdana" w:eastAsia="Verdana" w:hAnsi="Verdana" w:cs="Verdana"/>
        <w:color w:val="000000"/>
        <w:sz w:val="16"/>
        <w:szCs w:val="16"/>
      </w:rPr>
      <w:t xml:space="preserve">CCTP – NOM DE L’ETABLISSEMENT - NOM DU MARCHE -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3F2330">
      <w:rPr>
        <w:rFonts w:ascii="Verdana" w:eastAsia="Verdana" w:hAnsi="Verdana" w:cs="Verdana"/>
        <w:noProof/>
        <w:color w:val="000000"/>
        <w:sz w:val="16"/>
        <w:szCs w:val="16"/>
      </w:rPr>
      <w:t>5</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3F2330">
      <w:rPr>
        <w:rFonts w:ascii="Verdana" w:eastAsia="Verdana" w:hAnsi="Verdana" w:cs="Verdana"/>
        <w:noProof/>
        <w:color w:val="000000"/>
        <w:sz w:val="16"/>
        <w:szCs w:val="16"/>
      </w:rPr>
      <w:t>5</w:t>
    </w:r>
    <w:r>
      <w:rPr>
        <w:rFonts w:ascii="Verdana" w:eastAsia="Verdana" w:hAnsi="Verdana" w:cs="Verdana"/>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E82" w:rsidRDefault="00E74E82">
      <w:r>
        <w:separator/>
      </w:r>
    </w:p>
  </w:footnote>
  <w:footnote w:type="continuationSeparator" w:id="0">
    <w:p w:rsidR="00E74E82" w:rsidRDefault="00E74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25177"/>
    <w:multiLevelType w:val="multilevel"/>
    <w:tmpl w:val="F3DE4E8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2B5D4FB0"/>
    <w:multiLevelType w:val="multilevel"/>
    <w:tmpl w:val="8C1A3B7C"/>
    <w:lvl w:ilvl="0">
      <w:start w:val="1"/>
      <w:numFmt w:val="upperRoman"/>
      <w:lvlText w:val="%1-"/>
      <w:lvlJc w:val="left"/>
      <w:pPr>
        <w:ind w:left="1080" w:hanging="72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37060F23"/>
    <w:multiLevelType w:val="multilevel"/>
    <w:tmpl w:val="D8A6E4C0"/>
    <w:lvl w:ilvl="0">
      <w:start w:val="1"/>
      <w:numFmt w:val="bullet"/>
      <w:lvlText w:val="-"/>
      <w:lvlJc w:val="left"/>
      <w:pPr>
        <w:ind w:left="1068" w:hanging="360"/>
      </w:pPr>
      <w:rPr>
        <w:rFonts w:ascii="Verdana" w:eastAsia="Verdana" w:hAnsi="Verdana" w:cs="Verdan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417F5FC4"/>
    <w:multiLevelType w:val="multilevel"/>
    <w:tmpl w:val="36223EF4"/>
    <w:lvl w:ilvl="0">
      <w:start w:val="1"/>
      <w:numFmt w:val="bullet"/>
      <w:lvlText w:val="-"/>
      <w:lvlJc w:val="left"/>
      <w:pPr>
        <w:ind w:left="1068" w:hanging="360"/>
      </w:pPr>
      <w:rPr>
        <w:rFonts w:ascii="Verdana" w:eastAsia="Verdana" w:hAnsi="Verdana" w:cs="Verdan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0093900"/>
    <w:multiLevelType w:val="multilevel"/>
    <w:tmpl w:val="08F6039C"/>
    <w:lvl w:ilvl="0">
      <w:start w:val="1"/>
      <w:numFmt w:val="upperRoman"/>
      <w:lvlText w:val="%1-"/>
      <w:lvlJc w:val="left"/>
      <w:pPr>
        <w:ind w:left="1080" w:hanging="72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50366CA2"/>
    <w:multiLevelType w:val="multilevel"/>
    <w:tmpl w:val="8376BFB8"/>
    <w:lvl w:ilvl="0">
      <w:start w:val="1"/>
      <w:numFmt w:val="bullet"/>
      <w:lvlText w:val="-"/>
      <w:lvlJc w:val="left"/>
      <w:pPr>
        <w:ind w:left="1068" w:hanging="360"/>
      </w:pPr>
      <w:rPr>
        <w:rFonts w:ascii="Verdana" w:eastAsia="Verdana" w:hAnsi="Verdana" w:cs="Verdan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5A1A6D72"/>
    <w:multiLevelType w:val="multilevel"/>
    <w:tmpl w:val="03BE0F5E"/>
    <w:lvl w:ilvl="0">
      <w:start w:val="1"/>
      <w:numFmt w:val="decimal"/>
      <w:lvlText w:val="%1."/>
      <w:lvlJc w:val="left"/>
      <w:pPr>
        <w:ind w:left="786"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674A442E"/>
    <w:multiLevelType w:val="multilevel"/>
    <w:tmpl w:val="ABF69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FB0C66"/>
    <w:multiLevelType w:val="multilevel"/>
    <w:tmpl w:val="A0BE405E"/>
    <w:lvl w:ilvl="0">
      <w:start w:val="1"/>
      <w:numFmt w:val="upperRoman"/>
      <w:lvlText w:val="%1-"/>
      <w:lvlJc w:val="left"/>
      <w:pPr>
        <w:ind w:left="1080" w:hanging="72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0"/>
  </w:num>
  <w:num w:numId="3">
    <w:abstractNumId w:val="8"/>
  </w:num>
  <w:num w:numId="4">
    <w:abstractNumId w:val="6"/>
  </w:num>
  <w:num w:numId="5">
    <w:abstractNumId w:val="7"/>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F7DCD"/>
    <w:rsid w:val="003F2330"/>
    <w:rsid w:val="004E4055"/>
    <w:rsid w:val="005F7DCD"/>
    <w:rsid w:val="006E16E8"/>
    <w:rsid w:val="00E74E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7CC22-DDB0-4030-A49B-16FD7DF2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60AFB"/>
    <w:pPr>
      <w:spacing w:before="100" w:beforeAutospacing="1" w:after="100" w:afterAutospacing="1"/>
    </w:pPr>
    <w:rPr>
      <w:sz w:val="24"/>
      <w:szCs w:val="24"/>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paragraph" w:styleId="Paragraphedeliste">
    <w:name w:val="List Paragraph"/>
    <w:basedOn w:val="Normal"/>
    <w:uiPriority w:val="34"/>
    <w:qFormat/>
    <w:rsid w:val="006E16E8"/>
    <w:pPr>
      <w:widowControl w:val="0"/>
      <w:spacing w:before="196"/>
      <w:ind w:left="264" w:hanging="149"/>
    </w:pPr>
    <w:rPr>
      <w:rFonts w:ascii="Arial" w:eastAsia="Arial" w:hAnsi="Arial" w:cs="Arial"/>
      <w:sz w:val="22"/>
      <w:szCs w:val="2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l+3ItyTV9bach/uNz5IRtILg==">AMUW2mXhBr263XPe61G1o9lFkC8lkA+vAN66v7JVHQEf9z8XICm0iaNoATPRPE6WnLagRvCkmTRBTmzaS71o5Kaj10baV0mk5MyxbhjvCIh1gqtutCItSlrg0N2qSqA/EcniQbK+baDn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1800</Words>
  <Characters>9902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CDA50</Company>
  <LinksUpToDate>false</LinksUpToDate>
  <CharactersWithSpaces>11679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HARDY METAYER</dc:creator>
  <cp:lastModifiedBy>LEBON Guillaume</cp:lastModifiedBy>
  <cp:revision>4</cp:revision>
  <dcterms:created xsi:type="dcterms:W3CDTF">2020-09-10T13:55:00Z</dcterms:created>
  <dcterms:modified xsi:type="dcterms:W3CDTF">2020-09-10T14:11:00Z</dcterms:modified>
</cp:coreProperties>
</file>